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start="5184"/>
        <w:jc w:val="both"/>
        <w:rPr/>
      </w:pPr>
      <w:r>
        <w:rPr>
          <w:lang w:val="en-US"/>
        </w:rPr>
        <w:t>APPROVED</w:t>
      </w:r>
      <w:r>
        <w:rPr/>
        <w:t xml:space="preserve"> </w:t>
      </w:r>
    </w:p>
    <w:p>
      <w:pPr>
        <w:pStyle w:val="Normal"/>
        <w:ind w:start="5184"/>
        <w:jc w:val="both"/>
        <w:rPr/>
      </w:pPr>
      <w:r>
        <w:rPr>
          <w:lang w:val="en-US"/>
        </w:rPr>
        <w:t>by Resolution No. AT N- of the Academic Council of  ……………...</w:t>
      </w:r>
      <w:r>
        <w:rPr/>
        <w:t xml:space="preserve">2026 </w:t>
      </w:r>
    </w:p>
    <w:p>
      <w:pPr>
        <w:pStyle w:val="Normal"/>
        <w:jc w:val="both"/>
        <w:rPr/>
      </w:pPr>
      <w:r>
        <w:rPr/>
      </w:r>
    </w:p>
    <w:p>
      <w:pPr>
        <w:pStyle w:val="Normal"/>
        <w:jc w:val="both"/>
        <w:rPr/>
      </w:pPr>
      <w:r>
        <w:rPr/>
      </w:r>
    </w:p>
    <w:p>
      <w:pPr>
        <w:pStyle w:val="Normal"/>
        <w:spacing w:lineRule="auto" w:line="276"/>
        <w:jc w:val="center"/>
        <w:rPr>
          <w:b/>
          <w:color w:val="000000"/>
        </w:rPr>
      </w:pPr>
      <w:r>
        <w:rPr>
          <w:b/>
          <w:bCs/>
          <w:color w:themeColor="text1" w:val="000000"/>
          <w:lang w:val="en-US"/>
        </w:rPr>
        <w:t xml:space="preserve">DESCRIPTION OF THE PROCEDURE FOR THE PREPARATION, DEFENSE, AND STORAGE OF FINAL THESES AT VILNIAUS KOLEGIJA / HIGHER EDUCATION INSTITUTION </w:t>
      </w:r>
    </w:p>
    <w:p>
      <w:pPr>
        <w:pStyle w:val="Normal"/>
        <w:jc w:val="both"/>
        <w:rPr/>
      </w:pPr>
      <w:r>
        <w:rPr/>
      </w:r>
    </w:p>
    <w:p>
      <w:pPr>
        <w:pStyle w:val="Normal"/>
        <w:spacing w:lineRule="auto" w:line="276"/>
        <w:jc w:val="center"/>
        <w:rPr>
          <w:b/>
          <w:bCs/>
          <w:color w:themeColor="text1" w:val="000000"/>
        </w:rPr>
      </w:pPr>
      <w:r>
        <w:rPr>
          <w:b/>
          <w:bCs/>
          <w:color w:themeColor="text1" w:val="000000"/>
          <w:lang w:val="en-US"/>
        </w:rPr>
        <w:t xml:space="preserve">CHAPTER </w:t>
      </w:r>
      <w:bookmarkStart w:id="0" w:name="_Toc463425362"/>
      <w:r>
        <w:rPr>
          <w:b/>
          <w:bCs/>
          <w:color w:themeColor="text1" w:val="000000"/>
        </w:rPr>
        <w:t xml:space="preserve">I </w:t>
      </w:r>
    </w:p>
    <w:p>
      <w:pPr>
        <w:pStyle w:val="Normal"/>
        <w:spacing w:lineRule="auto" w:line="276"/>
        <w:jc w:val="center"/>
        <w:rPr>
          <w:lang w:val="en-US"/>
        </w:rPr>
      </w:pPr>
      <w:bookmarkEnd w:id="0"/>
      <w:r>
        <w:rPr>
          <w:b/>
          <w:bCs/>
          <w:color w:themeColor="text1" w:val="000000"/>
          <w:lang w:val="en-US"/>
        </w:rPr>
        <w:t>GENERAL PROVISIONS</w:t>
      </w:r>
    </w:p>
    <w:p>
      <w:pPr>
        <w:pStyle w:val="Normal"/>
        <w:jc w:val="both"/>
        <w:rPr/>
      </w:pPr>
      <w:r>
        <w:rPr/>
      </w:r>
    </w:p>
    <w:p>
      <w:pPr>
        <w:pStyle w:val="ListParagraph"/>
        <w:numPr>
          <w:ilvl w:val="0"/>
          <w:numId w:val="1"/>
        </w:numPr>
        <w:tabs>
          <w:tab w:val="clear" w:pos="1296"/>
          <w:tab w:val="left" w:pos="284" w:leader="none"/>
          <w:tab w:val="left" w:pos="851" w:leader="none"/>
        </w:tabs>
        <w:spacing w:lineRule="auto" w:line="360"/>
        <w:ind w:firstLine="360" w:start="0"/>
        <w:jc w:val="both"/>
        <w:rPr/>
      </w:pPr>
      <w:r>
        <w:rPr>
          <w:lang w:val="en-US"/>
        </w:rPr>
        <w:t>This Description of the Procedure for the Preparation, Defense, and Storage of Final Theses at Vilniaus Kolegija / Higher Education Institution (hereinafter – the Kolegija) (hereinafter – the Description) establishes the procedures for the preparation, review, and defense of final theses (hereinafter – FT) before the Department Commission (hereinafter – the Department Commission) and the FT Defense Commission, as well as procedures for the storage of FTs</w:t>
      </w:r>
      <w:r>
        <w:rPr/>
        <w:t xml:space="preserve"> .</w:t>
      </w:r>
    </w:p>
    <w:p>
      <w:pPr>
        <w:pStyle w:val="ListParagraph"/>
        <w:numPr>
          <w:ilvl w:val="0"/>
          <w:numId w:val="1"/>
        </w:numPr>
        <w:tabs>
          <w:tab w:val="clear" w:pos="1296"/>
          <w:tab w:val="left" w:pos="360" w:leader="none"/>
          <w:tab w:val="left" w:pos="851" w:leader="none"/>
        </w:tabs>
        <w:spacing w:lineRule="auto" w:line="360"/>
        <w:ind w:firstLine="360" w:start="0"/>
        <w:jc w:val="both"/>
        <w:rPr/>
      </w:pPr>
      <w:r>
        <w:rPr>
          <w:lang w:val="en-US"/>
        </w:rPr>
        <w:t xml:space="preserve">The Description applies to students, FT supervisors, reviewers, members of the Department Commission and the FT Defense Commission, consultants, heads of departments, and other </w:t>
      </w:r>
      <w:r>
        <w:rPr>
          <w:lang w:val="lt-LT"/>
        </w:rPr>
        <w:t>Kolegija</w:t>
      </w:r>
      <w:r>
        <w:rPr>
          <w:lang w:val="en-US"/>
        </w:rPr>
        <w:t xml:space="preserve"> staff involved in the preparation, defense, and storage of FTs</w:t>
      </w:r>
      <w:r>
        <w:rPr/>
        <w:t>.</w:t>
      </w:r>
    </w:p>
    <w:p>
      <w:pPr>
        <w:pStyle w:val="ListParagraph"/>
        <w:numPr>
          <w:ilvl w:val="0"/>
          <w:numId w:val="1"/>
        </w:numPr>
        <w:tabs>
          <w:tab w:val="clear" w:pos="1296"/>
          <w:tab w:val="left" w:pos="360" w:leader="none"/>
          <w:tab w:val="left" w:pos="851" w:leader="none"/>
        </w:tabs>
        <w:spacing w:lineRule="auto" w:line="360"/>
        <w:ind w:firstLine="360" w:start="0"/>
        <w:jc w:val="both"/>
        <w:rPr/>
      </w:pPr>
      <w:r>
        <w:rPr>
          <w:lang w:val="en-US"/>
        </w:rPr>
        <w:t>An FT is an original work prepared independently by a student to demonstrate the results achieved in the final thesis project</w:t>
      </w:r>
      <w:r>
        <w:rPr/>
        <w:t>.</w:t>
      </w:r>
    </w:p>
    <w:p>
      <w:pPr>
        <w:pStyle w:val="ListParagraph"/>
        <w:numPr>
          <w:ilvl w:val="0"/>
          <w:numId w:val="1"/>
        </w:numPr>
        <w:tabs>
          <w:tab w:val="clear" w:pos="1296"/>
          <w:tab w:val="left" w:pos="360" w:leader="none"/>
          <w:tab w:val="left" w:pos="851" w:leader="none"/>
        </w:tabs>
        <w:spacing w:lineRule="auto" w:line="360"/>
        <w:ind w:firstLine="360" w:start="0"/>
        <w:jc w:val="both"/>
        <w:rPr/>
      </w:pPr>
      <w:r>
        <w:rPr>
          <w:lang w:val="en-US"/>
        </w:rPr>
        <w:t xml:space="preserve">In exceptional cases, the Dean of the Faculty (hereinafter – the Dean), upon the recommendation of the Head of the Department overseeing the study programme (hereinafter – the Head of the Department), may authorize the preparation and defense of an FT by two students or a group of students studying the same study programme, or study programmes within the same or different fields of study. Requirements for the preparation and defense of such an FT are set out in the methodological guidelines for the preparation and defense of FTs approved by the Dean (hereinafter – the methodological guidelines). </w:t>
      </w:r>
    </w:p>
    <w:p>
      <w:pPr>
        <w:pStyle w:val="ListParagraph"/>
        <w:numPr>
          <w:ilvl w:val="0"/>
          <w:numId w:val="1"/>
        </w:numPr>
        <w:tabs>
          <w:tab w:val="clear" w:pos="1296"/>
          <w:tab w:val="left" w:pos="360" w:leader="none"/>
          <w:tab w:val="left" w:pos="851" w:leader="none"/>
        </w:tabs>
        <w:spacing w:lineRule="auto" w:line="360"/>
        <w:ind w:firstLine="360" w:start="0"/>
        <w:jc w:val="both"/>
        <w:rPr/>
      </w:pPr>
      <w:r>
        <w:rPr>
          <w:lang w:val="en-US"/>
        </w:rPr>
        <w:t xml:space="preserve"> </w:t>
      </w:r>
      <w:r>
        <w:rPr>
          <w:lang w:val="en-US"/>
        </w:rPr>
        <w:t>The credit value of the Final Thesis is specified in the study plan, while the stages of its preparation, review, and defense—along with their respective deadlines—are outlined in the schedule of Final Thesis stages (Annex</w:t>
      </w:r>
      <w:r>
        <w:rPr/>
        <w:t xml:space="preserve"> </w:t>
      </w:r>
      <w:r>
        <w:rPr>
          <w:lang w:val="en-US"/>
        </w:rPr>
        <w:t>1).</w:t>
      </w:r>
    </w:p>
    <w:p>
      <w:pPr>
        <w:pStyle w:val="ListParagraph"/>
        <w:numPr>
          <w:ilvl w:val="0"/>
          <w:numId w:val="0"/>
        </w:numPr>
        <w:spacing w:lineRule="auto" w:line="360"/>
        <w:ind w:hanging="0" w:start="0"/>
        <w:jc w:val="both"/>
        <w:rPr/>
      </w:pPr>
      <w:r>
        <w:rPr>
          <w:lang w:val="en-US"/>
        </w:rPr>
        <w:t xml:space="preserve">      </w:t>
      </w:r>
      <w:r>
        <w:rPr>
          <w:lang w:val="en-US"/>
        </w:rPr>
        <w:t xml:space="preserve">6.         The Final Thesis supervisor, reviewer, consultant, Department committee member, defense committee member, and committee secretary must sign a confidentiality undertaking (Annex </w:t>
      </w:r>
      <w:r>
        <w:rPr/>
        <w:t xml:space="preserve"> 2).</w:t>
      </w:r>
    </w:p>
    <w:p>
      <w:pPr>
        <w:pStyle w:val="ListParagraph"/>
        <w:widowControl/>
        <w:numPr>
          <w:ilvl w:val="0"/>
          <w:numId w:val="0"/>
        </w:numPr>
        <w:tabs>
          <w:tab w:val="clear" w:pos="1296"/>
          <w:tab w:val="left" w:pos="0" w:leader="none"/>
          <w:tab w:val="left" w:pos="851" w:leader="none"/>
        </w:tabs>
        <w:bidi w:val="0"/>
        <w:spacing w:lineRule="auto" w:line="360" w:before="0" w:after="0"/>
        <w:ind w:hanging="0" w:start="0" w:end="0"/>
        <w:contextualSpacing/>
        <w:jc w:val="both"/>
        <w:rPr/>
      </w:pPr>
      <w:r>
        <w:rPr>
          <w:lang w:val="en-US"/>
        </w:rPr>
        <w:t xml:space="preserve">      </w:t>
      </w:r>
      <w:r>
        <w:rPr>
          <w:lang w:val="en-US"/>
        </w:rPr>
        <w:t>7.           Final Theses are prepared and defended in accordance with the methodological guidelines</w:t>
      </w:r>
      <w:r>
        <w:rPr/>
        <w:t xml:space="preserve">. </w:t>
      </w:r>
    </w:p>
    <w:p>
      <w:pPr>
        <w:pStyle w:val="ListParagraph"/>
        <w:widowControl/>
        <w:numPr>
          <w:ilvl w:val="0"/>
          <w:numId w:val="0"/>
        </w:numPr>
        <w:tabs>
          <w:tab w:val="clear" w:pos="1296"/>
          <w:tab w:val="left" w:pos="335" w:leader="none"/>
          <w:tab w:val="left" w:pos="851" w:leader="none"/>
        </w:tabs>
        <w:bidi w:val="0"/>
        <w:spacing w:lineRule="auto" w:line="360" w:before="0" w:after="0"/>
        <w:ind w:hanging="0" w:start="0" w:end="0"/>
        <w:contextualSpacing/>
        <w:jc w:val="both"/>
        <w:rPr/>
      </w:pPr>
      <w:r>
        <w:rPr>
          <w:lang w:val="en-US"/>
        </w:rPr>
        <w:t xml:space="preserve">     </w:t>
      </w:r>
      <w:r>
        <w:rPr>
          <w:lang w:val="en-US"/>
        </w:rPr>
        <w:t xml:space="preserve">8.  </w:t>
        <w:tab/>
        <w:t xml:space="preserve">  The defense of the Final Thesis is public. Upon the recommendation of the Head of the Department and by order of the Dean, the defense may take place during a closed session of the defense committee if confidential data is used in the thesis. A formal request to hold a closed defense, issued by the company, institution, or organization whose data is utilized in the thesis, must be submitted to the Dean no later than one working day prior to the defense before the Department committee</w:t>
      </w:r>
      <w:r>
        <w:rPr/>
        <w:t>.</w:t>
      </w:r>
    </w:p>
    <w:p>
      <w:pPr>
        <w:pStyle w:val="ListParagraph"/>
        <w:widowControl/>
        <w:numPr>
          <w:ilvl w:val="0"/>
          <w:numId w:val="0"/>
        </w:numPr>
        <w:tabs>
          <w:tab w:val="clear" w:pos="1296"/>
          <w:tab w:val="left" w:pos="0" w:leader="none"/>
          <w:tab w:val="left" w:pos="851" w:leader="none"/>
        </w:tabs>
        <w:bidi w:val="0"/>
        <w:spacing w:lineRule="auto" w:line="360" w:before="0" w:after="0"/>
        <w:ind w:hanging="0" w:start="0" w:end="0"/>
        <w:contextualSpacing/>
        <w:jc w:val="both"/>
        <w:rPr/>
      </w:pPr>
      <w:r>
        <w:rPr>
          <w:lang w:val="en-US"/>
        </w:rPr>
        <w:t xml:space="preserve">    </w:t>
      </w:r>
      <w:r>
        <w:rPr>
          <w:lang w:val="en-US"/>
        </w:rPr>
        <w:t>9.      A student who has prepared a Final Thesis commissioned by a company, institution, or organization must submit the written feedback from said entity to the Department no later than two working days prior to the defense before the Final Thesis defense commission</w:t>
      </w:r>
      <w:r>
        <w:rPr/>
        <w:t xml:space="preserve">. </w:t>
      </w:r>
    </w:p>
    <w:p>
      <w:pPr>
        <w:pStyle w:val="ListParagraph"/>
        <w:widowControl/>
        <w:numPr>
          <w:ilvl w:val="0"/>
          <w:numId w:val="0"/>
        </w:numPr>
        <w:tabs>
          <w:tab w:val="clear" w:pos="1296"/>
          <w:tab w:val="left" w:pos="0" w:leader="none"/>
          <w:tab w:val="left" w:pos="851" w:leader="none"/>
        </w:tabs>
        <w:bidi w:val="0"/>
        <w:spacing w:lineRule="auto" w:line="360" w:before="0" w:after="0"/>
        <w:ind w:hanging="0" w:start="0" w:end="0"/>
        <w:contextualSpacing/>
        <w:jc w:val="both"/>
        <w:rPr>
          <w:szCs w:val="18"/>
        </w:rPr>
      </w:pPr>
      <w:r>
        <w:rPr>
          <w:szCs w:val="18"/>
          <w:lang w:val="en-US"/>
        </w:rPr>
        <w:t xml:space="preserve">   </w:t>
      </w:r>
      <w:r>
        <w:rPr>
          <w:szCs w:val="18"/>
          <w:lang w:val="en-US"/>
        </w:rPr>
        <w:t xml:space="preserve">10. </w:t>
        <w:tab/>
        <w:t>The procedures for the preparation, review, and defense of Final Theses in the study fields of Music, Theatre, Design, and Media Art are established by the Council of the Faculty of Arts and Design</w:t>
      </w:r>
      <w:r>
        <w:rPr>
          <w:szCs w:val="18"/>
        </w:rPr>
        <w:t>.</w:t>
      </w:r>
    </w:p>
    <w:p>
      <w:pPr>
        <w:pStyle w:val="Normal"/>
        <w:jc w:val="both"/>
        <w:rPr/>
      </w:pPr>
      <w:r>
        <w:rPr/>
      </w:r>
      <w:bookmarkStart w:id="1" w:name="_Toc463425363"/>
    </w:p>
    <w:p>
      <w:pPr>
        <w:pStyle w:val="Normal"/>
        <w:spacing w:lineRule="auto" w:line="276"/>
        <w:jc w:val="center"/>
        <w:rPr>
          <w:lang w:val="en-US"/>
        </w:rPr>
      </w:pPr>
      <w:r>
        <w:rPr>
          <w:b/>
          <w:bCs/>
          <w:color w:themeColor="text1" w:val="000000"/>
          <w:lang w:val="en-US"/>
        </w:rPr>
        <w:t>CHAPTER II</w:t>
      </w:r>
    </w:p>
    <w:p>
      <w:pPr>
        <w:pStyle w:val="Normal"/>
        <w:spacing w:lineRule="auto" w:line="276"/>
        <w:jc w:val="center"/>
        <w:rPr>
          <w:b/>
          <w:bCs/>
          <w:color w:themeColor="text1" w:val="000000"/>
        </w:rPr>
      </w:pPr>
      <w:bookmarkEnd w:id="1"/>
      <w:r>
        <w:rPr>
          <w:b/>
          <w:bCs/>
          <w:color w:themeColor="text1" w:val="000000"/>
          <w:lang w:val="en-US"/>
        </w:rPr>
        <w:t>ORGANIZATION OF THE PREPARATION, REVIEW, AND DEFENSE OF FINAL THESE</w:t>
      </w:r>
      <w:r>
        <w:rPr>
          <w:b/>
          <w:bCs/>
          <w:color w:themeColor="text1" w:val="000000"/>
        </w:rPr>
        <w:t>S</w:t>
      </w:r>
    </w:p>
    <w:p>
      <w:pPr>
        <w:pStyle w:val="Normal"/>
        <w:jc w:val="both"/>
        <w:rPr/>
      </w:pPr>
      <w:r>
        <w:rPr/>
      </w:r>
    </w:p>
    <w:p>
      <w:pPr>
        <w:pStyle w:val="ListParagraph"/>
        <w:numPr>
          <w:ilvl w:val="0"/>
          <w:numId w:val="0"/>
        </w:numPr>
        <w:tabs>
          <w:tab w:val="clear" w:pos="1296"/>
          <w:tab w:val="left" w:pos="0" w:leader="none"/>
          <w:tab w:val="left" w:pos="851" w:leader="none"/>
        </w:tabs>
        <w:spacing w:lineRule="auto" w:line="360"/>
        <w:ind w:hanging="0" w:start="0"/>
        <w:jc w:val="both"/>
        <w:rPr/>
      </w:pPr>
      <w:r>
        <w:rPr>
          <w:lang w:val="en-US"/>
        </w:rPr>
        <w:t xml:space="preserve">    </w:t>
      </w:r>
      <w:r>
        <w:rPr>
          <w:lang w:val="en-US"/>
        </w:rPr>
        <w:t xml:space="preserve">11. </w:t>
      </w:r>
      <w:r>
        <w:rPr>
          <w:lang w:val="en-US"/>
        </w:rPr>
        <w:t>The Head of the Department prepares the schedule of final thesis stages for each academic year—no later than two months prior to the start of the preparation stage—and submits it to the Vice-Dean for approval. The schedule of final thesis stages is published on the faculty’s website. The final thesis stages, their descriptions, and deadlines are presented in the table</w:t>
      </w:r>
      <w:r>
        <w:rPr/>
        <w:t xml:space="preserve">. </w:t>
      </w:r>
    </w:p>
    <w:p>
      <w:pPr>
        <w:pStyle w:val="Normal"/>
        <w:jc w:val="end"/>
        <w:rPr>
          <w:lang w:val="en-US"/>
        </w:rPr>
      </w:pPr>
      <w:r>
        <w:rPr>
          <w:lang w:val="en-US"/>
        </w:rPr>
        <w:t>Table</w:t>
      </w:r>
    </w:p>
    <w:p>
      <w:pPr>
        <w:pStyle w:val="Normal"/>
        <w:jc w:val="center"/>
        <w:rPr/>
      </w:pPr>
      <w:r>
        <w:rPr>
          <w:lang w:val="en-US"/>
        </w:rPr>
        <w:t>FT stages</w:t>
      </w:r>
      <w:r>
        <w:rPr/>
        <w:t xml:space="preserve">, </w:t>
      </w:r>
      <w:r>
        <w:rPr>
          <w:lang w:val="en-US"/>
        </w:rPr>
        <w:t>their descriptions and deadlines</w:t>
      </w:r>
    </w:p>
    <w:p>
      <w:pPr>
        <w:pStyle w:val="Normal"/>
        <w:rPr/>
      </w:pPr>
      <w:r>
        <w:rPr/>
      </w:r>
    </w:p>
    <w:tbl>
      <w:tblPr>
        <w:tblStyle w:val="Lentelstinklelis"/>
        <w:tblW w:w="977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62"/>
        <w:gridCol w:w="1701"/>
        <w:gridCol w:w="5243"/>
        <w:gridCol w:w="2270"/>
      </w:tblGrid>
      <w:tr>
        <w:trPr>
          <w:tblHeader w:val="true"/>
        </w:trPr>
        <w:tc>
          <w:tcPr>
            <w:tcW w:w="562" w:type="dxa"/>
            <w:tcBorders/>
            <w:vAlign w:val="center"/>
          </w:tcPr>
          <w:p>
            <w:pPr>
              <w:pStyle w:val="Normal"/>
              <w:widowControl/>
              <w:suppressAutoHyphens w:val="true"/>
              <w:spacing w:before="0" w:after="0"/>
              <w:jc w:val="center"/>
              <w:rPr>
                <w:i/>
                <w:iCs/>
              </w:rPr>
            </w:pPr>
            <w:r>
              <w:rPr>
                <w:rFonts w:eastAsia="Times New Roman" w:cs="Times New Roman"/>
                <w:i/>
                <w:iCs/>
                <w:kern w:val="0"/>
                <w:lang w:val="lt-LT" w:eastAsia="lt-LT" w:bidi="ar-SA"/>
              </w:rPr>
              <w:t xml:space="preserve"> </w:t>
            </w:r>
            <w:r>
              <w:rPr>
                <w:rFonts w:eastAsia="Times New Roman" w:cs="Times New Roman"/>
                <w:i/>
                <w:iCs/>
                <w:kern w:val="0"/>
                <w:lang w:val="en-US" w:eastAsia="lt-LT" w:bidi="ar-SA"/>
              </w:rPr>
              <w:t>NNo</w:t>
            </w:r>
            <w:r>
              <w:rPr>
                <w:rFonts w:eastAsia="Times New Roman" w:cs="Times New Roman"/>
                <w:i/>
                <w:iCs/>
                <w:kern w:val="0"/>
                <w:lang w:val="lt-LT" w:eastAsia="lt-LT" w:bidi="ar-SA"/>
              </w:rPr>
              <w:t>.</w:t>
            </w:r>
          </w:p>
        </w:tc>
        <w:tc>
          <w:tcPr>
            <w:tcW w:w="1701" w:type="dxa"/>
            <w:tcBorders/>
            <w:vAlign w:val="center"/>
          </w:tcPr>
          <w:p>
            <w:pPr>
              <w:pStyle w:val="Normal"/>
              <w:widowControl/>
              <w:suppressAutoHyphens w:val="true"/>
              <w:spacing w:before="0" w:after="0"/>
              <w:jc w:val="center"/>
              <w:rPr>
                <w:i/>
                <w:iCs/>
              </w:rPr>
            </w:pPr>
            <w:r>
              <w:rPr>
                <w:rFonts w:eastAsia="Times New Roman" w:cs="Times New Roman"/>
                <w:i/>
                <w:iCs/>
                <w:kern w:val="0"/>
                <w:lang w:val="en-US" w:eastAsia="lt-LT" w:bidi="ar-SA"/>
              </w:rPr>
              <w:t>FT stage</w:t>
            </w:r>
            <w:r>
              <w:rPr>
                <w:rFonts w:eastAsia="Times New Roman" w:cs="Times New Roman"/>
                <w:i/>
                <w:iCs/>
                <w:kern w:val="0"/>
                <w:lang w:val="lt-LT" w:eastAsia="lt-LT" w:bidi="ar-SA"/>
              </w:rPr>
              <w:t xml:space="preserve"> </w:t>
            </w:r>
          </w:p>
        </w:tc>
        <w:tc>
          <w:tcPr>
            <w:tcW w:w="5243" w:type="dxa"/>
            <w:tcBorders/>
            <w:vAlign w:val="center"/>
          </w:tcPr>
          <w:p>
            <w:pPr>
              <w:pStyle w:val="Normal"/>
              <w:widowControl/>
              <w:suppressAutoHyphens w:val="true"/>
              <w:spacing w:before="0" w:after="0"/>
              <w:jc w:val="center"/>
              <w:rPr>
                <w:i/>
                <w:iCs/>
              </w:rPr>
            </w:pPr>
            <w:r>
              <w:rPr>
                <w:rFonts w:eastAsia="Times New Roman" w:cs="Times New Roman"/>
                <w:i/>
                <w:iCs/>
                <w:kern w:val="0"/>
                <w:lang w:val="en-US" w:eastAsia="lt-LT" w:bidi="ar-SA"/>
              </w:rPr>
              <w:t xml:space="preserve">FT </w:t>
            </w:r>
            <w:r>
              <w:rPr>
                <w:rFonts w:eastAsia="Times New Roman" w:cs="Times New Roman"/>
                <w:i/>
                <w:iCs/>
                <w:kern w:val="0"/>
                <w:lang w:val="lt-LT" w:eastAsia="lt-LT" w:bidi="ar-SA"/>
              </w:rPr>
              <w:t xml:space="preserve"> </w:t>
            </w:r>
            <w:r>
              <w:rPr>
                <w:rFonts w:eastAsia="Times New Roman" w:cs="Times New Roman"/>
                <w:i/>
                <w:iCs/>
                <w:kern w:val="0"/>
                <w:lang w:val="en-US" w:eastAsia="lt-LT" w:bidi="ar-SA"/>
              </w:rPr>
              <w:t>stage description</w:t>
            </w:r>
          </w:p>
        </w:tc>
        <w:tc>
          <w:tcPr>
            <w:tcW w:w="2270" w:type="dxa"/>
            <w:tcBorders/>
            <w:vAlign w:val="center"/>
          </w:tcPr>
          <w:p>
            <w:pPr>
              <w:pStyle w:val="Normal"/>
              <w:widowControl/>
              <w:suppressAutoHyphens w:val="true"/>
              <w:spacing w:before="0" w:after="0"/>
              <w:jc w:val="center"/>
              <w:rPr>
                <w:rFonts w:ascii="Times New Roman" w:hAnsi="Times New Roman" w:eastAsia="Times New Roman" w:cs="Times New Roman"/>
                <w:kern w:val="0"/>
                <w:lang w:val="en-US" w:eastAsia="lt-LT" w:bidi="ar-SA"/>
              </w:rPr>
            </w:pPr>
            <w:r>
              <w:rPr>
                <w:rFonts w:eastAsia="Times New Roman" w:cs="Times New Roman"/>
                <w:i/>
                <w:iCs/>
                <w:kern w:val="0"/>
                <w:lang w:val="en-US" w:eastAsia="lt-LT" w:bidi="ar-SA"/>
              </w:rPr>
              <w:t>Deadline</w:t>
            </w:r>
          </w:p>
        </w:tc>
      </w:tr>
      <w:tr>
        <w:trPr/>
        <w:tc>
          <w:tcPr>
            <w:tcW w:w="562" w:type="dxa"/>
            <w:tcBorders/>
          </w:tcPr>
          <w:p>
            <w:pPr>
              <w:pStyle w:val="Normal"/>
              <w:widowControl/>
              <w:suppressAutoHyphens w:val="true"/>
              <w:spacing w:before="0" w:after="0"/>
              <w:jc w:val="start"/>
              <w:rPr>
                <w:rFonts w:ascii="Times New Roman" w:hAnsi="Times New Roman" w:eastAsia="Times New Roman" w:cs="Times New Roman"/>
                <w:kern w:val="0"/>
                <w:lang w:val="lt-LT" w:eastAsia="lt-LT" w:bidi="ar-SA"/>
              </w:rPr>
            </w:pPr>
            <w:r>
              <w:rPr>
                <w:rFonts w:eastAsia="Times New Roman" w:cs="Times New Roman"/>
                <w:kern w:val="0"/>
                <w:lang w:val="lt-LT" w:eastAsia="lt-LT" w:bidi="ar-SA"/>
              </w:rPr>
              <w:t>1.</w:t>
            </w:r>
          </w:p>
        </w:tc>
        <w:tc>
          <w:tcPr>
            <w:tcW w:w="1701" w:type="dxa"/>
            <w:tcBorders/>
          </w:tcPr>
          <w:p>
            <w:pPr>
              <w:pStyle w:val="Normal"/>
              <w:widowControl/>
              <w:suppressAutoHyphens w:val="true"/>
              <w:spacing w:before="0" w:after="0"/>
              <w:jc w:val="start"/>
              <w:rPr>
                <w:rFonts w:ascii="Times New Roman" w:hAnsi="Times New Roman" w:eastAsia="Times New Roman" w:cs="Times New Roman"/>
                <w:kern w:val="0"/>
                <w:lang w:val="en-US" w:eastAsia="lt-LT" w:bidi="ar-SA"/>
              </w:rPr>
            </w:pPr>
            <w:r>
              <w:rPr>
                <w:rFonts w:eastAsia="Times New Roman" w:cs="Times New Roman"/>
                <w:kern w:val="0"/>
                <w:lang w:val="en-US" w:eastAsia="lt-LT" w:bidi="ar-SA"/>
              </w:rPr>
              <w:t>Announcement of the FT topics to students</w:t>
            </w:r>
          </w:p>
        </w:tc>
        <w:tc>
          <w:tcPr>
            <w:tcW w:w="5243" w:type="dxa"/>
            <w:tcBorders/>
          </w:tcPr>
          <w:p>
            <w:pPr>
              <w:pStyle w:val="Normal"/>
              <w:widowControl/>
              <w:suppressAutoHyphens w:val="true"/>
              <w:spacing w:before="0" w:after="0"/>
              <w:jc w:val="both"/>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Students select a final thesis topic from the list published by the department. A student may also propose a topic relevant to the study program</w:t>
            </w:r>
            <w:r>
              <w:rPr>
                <w:rFonts w:eastAsia="Times New Roman" w:cs="Times New Roman"/>
                <w:kern w:val="0"/>
                <w:lang w:val="en-US" w:eastAsia="lt-LT" w:bidi="ar-SA"/>
              </w:rPr>
              <w:t>me</w:t>
            </w:r>
            <w:r>
              <w:rPr>
                <w:rFonts w:eastAsia="Times New Roman" w:cs="Times New Roman"/>
                <w:kern w:val="0"/>
                <w:lang w:val="en-US" w:eastAsia="lt-LT" w:bidi="ar-SA"/>
              </w:rPr>
              <w:t xml:space="preserve">; in such cases, the student must coordinate the proposal with the Head of the Department. </w:t>
            </w:r>
          </w:p>
        </w:tc>
        <w:tc>
          <w:tcPr>
            <w:tcW w:w="2270" w:type="dxa"/>
            <w:vMerge w:val="restart"/>
            <w:tcBorders/>
          </w:tcPr>
          <w:p>
            <w:pPr>
              <w:pStyle w:val="Normal"/>
              <w:widowControl/>
              <w:suppressAutoHyphens w:val="true"/>
              <w:spacing w:before="0" w:after="0"/>
              <w:jc w:val="both"/>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No later than one month before the start of the FT  preparation stage.</w:t>
            </w:r>
            <w:r>
              <w:rPr>
                <w:rFonts w:eastAsia="Times New Roman" w:cs="Times New Roman"/>
                <w:kern w:val="0"/>
                <w:lang w:val="lt-LT" w:eastAsia="lt-LT" w:bidi="ar-SA"/>
              </w:rPr>
              <w:t xml:space="preserve"> </w:t>
            </w:r>
          </w:p>
        </w:tc>
      </w:tr>
      <w:tr>
        <w:trPr/>
        <w:tc>
          <w:tcPr>
            <w:tcW w:w="562" w:type="dxa"/>
            <w:tcBorders/>
          </w:tcPr>
          <w:p>
            <w:pPr>
              <w:pStyle w:val="Normal"/>
              <w:widowControl/>
              <w:suppressAutoHyphens w:val="true"/>
              <w:spacing w:before="0" w:after="0"/>
              <w:jc w:val="start"/>
              <w:rPr>
                <w:rFonts w:ascii="Times New Roman" w:hAnsi="Times New Roman" w:eastAsia="Times New Roman" w:cs="Times New Roman"/>
                <w:kern w:val="0"/>
                <w:lang w:val="lt-LT" w:eastAsia="lt-LT" w:bidi="ar-SA"/>
              </w:rPr>
            </w:pPr>
            <w:r>
              <w:rPr>
                <w:rFonts w:eastAsia="Times New Roman" w:cs="Times New Roman"/>
                <w:kern w:val="0"/>
                <w:lang w:val="lt-LT" w:eastAsia="lt-LT" w:bidi="ar-SA"/>
              </w:rPr>
              <w:t>2.</w:t>
            </w:r>
          </w:p>
        </w:tc>
        <w:tc>
          <w:tcPr>
            <w:tcW w:w="1701" w:type="dxa"/>
            <w:tcBorders/>
          </w:tcPr>
          <w:p>
            <w:pPr>
              <w:pStyle w:val="Normal"/>
              <w:widowControl/>
              <w:suppressAutoHyphens w:val="true"/>
              <w:spacing w:before="0" w:after="0"/>
              <w:jc w:val="both"/>
              <w:rPr>
                <w:rFonts w:ascii="Times New Roman" w:hAnsi="Times New Roman" w:eastAsia="Times New Roman" w:cs="Times New Roman"/>
                <w:color w:val="111111"/>
                <w:kern w:val="0"/>
                <w:lang w:val="lt-LT" w:eastAsia="lt-LT" w:bidi="ar-SA"/>
              </w:rPr>
            </w:pPr>
            <w:r>
              <w:rPr>
                <w:rFonts w:eastAsia="Times New Roman" w:cs="Times New Roman"/>
                <w:color w:val="111111"/>
                <w:kern w:val="0"/>
                <w:lang w:val="en-US" w:eastAsia="lt-LT" w:bidi="ar-SA"/>
              </w:rPr>
              <w:t>Appointment of the FT supervisors and consultants</w:t>
            </w:r>
          </w:p>
        </w:tc>
        <w:tc>
          <w:tcPr>
            <w:tcW w:w="5243" w:type="dxa"/>
            <w:tcBorders/>
          </w:tcPr>
          <w:p>
            <w:pPr>
              <w:pStyle w:val="Normal"/>
              <w:widowControl/>
              <w:suppressAutoHyphens w:val="true"/>
              <w:spacing w:before="0" w:after="0"/>
              <w:jc w:val="both"/>
              <w:rPr>
                <w:rFonts w:ascii="Times New Roman" w:hAnsi="Times New Roman" w:eastAsia="Times New Roman" w:cs="Times New Roman"/>
                <w:color w:val="111111"/>
                <w:kern w:val="0"/>
                <w:lang w:val="lt-LT" w:eastAsia="lt-LT" w:bidi="ar-SA"/>
              </w:rPr>
            </w:pPr>
            <w:r>
              <w:rPr>
                <w:rFonts w:eastAsia="Times New Roman" w:cs="Times New Roman"/>
                <w:color w:val="111111"/>
                <w:kern w:val="0"/>
                <w:lang w:val="en-US" w:eastAsia="lt-LT" w:bidi="ar-SA"/>
              </w:rPr>
              <w:t xml:space="preserve"> </w:t>
            </w:r>
            <w:r>
              <w:rPr>
                <w:rFonts w:eastAsia="Times New Roman" w:cs="Times New Roman"/>
                <w:color w:val="111111"/>
                <w:kern w:val="0"/>
                <w:lang w:val="en-US" w:eastAsia="lt-LT" w:bidi="ar-SA"/>
              </w:rPr>
              <w:t xml:space="preserve">The </w:t>
            </w:r>
            <w:r>
              <w:rPr>
                <w:rFonts w:eastAsia="Times New Roman" w:cs="Times New Roman"/>
                <w:color w:val="111111"/>
                <w:kern w:val="0"/>
                <w:lang w:val="en-US" w:eastAsia="lt-LT" w:bidi="ar-SA"/>
              </w:rPr>
              <w:t>Kolegija lecturers and/or representatives of social partners are appointed as final thesis supervisors by Dean’s order, upon the recommendation of the Head of the Department. Appointees must hold at least a Master’s degree (or equivalent qualification) and have primary professional and/or scientific/artistic activities related to the specific field of study. The supervisor discusses the activities outlined in the final thesis stage plan with the student and provides guidance on matters related to the thesis preparation. The student has the right to submit a reasoned request to the department for the appointment of a final thesis consultant no later than six weeks before the thesis defense. In accordance with methodological guidelines, consultants may be appointed for all students of a specific study programme by Dean’s order. The functions of a consultant are defined in the methodological guideline</w:t>
            </w:r>
            <w:r>
              <w:rPr>
                <w:rFonts w:eastAsia="Times New Roman" w:cs="Times New Roman"/>
                <w:color w:val="111111"/>
                <w:kern w:val="0"/>
                <w:lang w:val="en-US" w:eastAsia="lt-LT" w:bidi="ar-SA"/>
              </w:rPr>
              <w:t>s</w:t>
            </w:r>
            <w:r>
              <w:rPr>
                <w:rFonts w:eastAsia="Times New Roman" w:cs="Times New Roman"/>
                <w:color w:val="111111"/>
                <w:kern w:val="0"/>
                <w:lang w:val="lt-LT" w:eastAsia="lt-LT" w:bidi="ar-SA"/>
              </w:rPr>
              <w:t>.</w:t>
            </w:r>
          </w:p>
        </w:tc>
        <w:tc>
          <w:tcPr>
            <w:tcW w:w="2270" w:type="dxa"/>
            <w:vMerge w:val="continue"/>
            <w:tcBorders/>
          </w:tcPr>
          <w:p>
            <w:pPr>
              <w:pStyle w:val="Normal"/>
              <w:widowControl/>
              <w:suppressAutoHyphens w:val="true"/>
              <w:spacing w:before="0" w:after="0"/>
              <w:jc w:val="both"/>
              <w:rPr>
                <w:rFonts w:ascii="Times New Roman" w:hAnsi="Times New Roman" w:eastAsia="Times New Roman" w:cs="Times New Roman"/>
                <w:kern w:val="0"/>
                <w:lang w:val="lt-LT" w:eastAsia="lt-LT" w:bidi="ar-SA"/>
              </w:rPr>
            </w:pPr>
            <w:r>
              <w:rPr>
                <w:rFonts w:eastAsia="Times New Roman" w:cs="Times New Roman"/>
                <w:kern w:val="0"/>
                <w:lang w:val="lt-LT" w:eastAsia="lt-LT" w:bidi="ar-SA"/>
              </w:rPr>
            </w:r>
          </w:p>
        </w:tc>
      </w:tr>
      <w:tr>
        <w:trPr/>
        <w:tc>
          <w:tcPr>
            <w:tcW w:w="562" w:type="dxa"/>
            <w:tcBorders/>
          </w:tcPr>
          <w:p>
            <w:pPr>
              <w:pStyle w:val="Normal"/>
              <w:widowControl/>
              <w:suppressAutoHyphens w:val="true"/>
              <w:spacing w:before="0" w:after="0"/>
              <w:jc w:val="start"/>
              <w:rPr>
                <w:rFonts w:ascii="Times New Roman" w:hAnsi="Times New Roman" w:eastAsia="Times New Roman" w:cs="Times New Roman"/>
                <w:kern w:val="0"/>
                <w:lang w:val="lt-LT" w:eastAsia="lt-LT" w:bidi="ar-SA"/>
              </w:rPr>
            </w:pPr>
            <w:r>
              <w:rPr>
                <w:rFonts w:eastAsia="Times New Roman" w:cs="Times New Roman"/>
                <w:kern w:val="0"/>
                <w:lang w:val="lt-LT" w:eastAsia="lt-LT" w:bidi="ar-SA"/>
              </w:rPr>
              <w:t>3.</w:t>
            </w:r>
          </w:p>
        </w:tc>
        <w:tc>
          <w:tcPr>
            <w:tcW w:w="1701" w:type="dxa"/>
            <w:tcBorders/>
          </w:tcPr>
          <w:p>
            <w:pPr>
              <w:pStyle w:val="Normal"/>
              <w:widowControl/>
              <w:suppressAutoHyphens w:val="true"/>
              <w:spacing w:before="0" w:after="0"/>
              <w:jc w:val="start"/>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Registration of Final Thesis topics at the department</w:t>
            </w:r>
            <w:r>
              <w:rPr>
                <w:rFonts w:eastAsia="Times New Roman" w:cs="Times New Roman"/>
                <w:kern w:val="0"/>
                <w:lang w:val="lt-LT" w:eastAsia="lt-LT" w:bidi="ar-SA"/>
              </w:rPr>
              <w:t xml:space="preserve"> </w:t>
            </w:r>
          </w:p>
        </w:tc>
        <w:tc>
          <w:tcPr>
            <w:tcW w:w="5243" w:type="dxa"/>
            <w:tcBorders/>
          </w:tcPr>
          <w:p>
            <w:pPr>
              <w:pStyle w:val="Normal"/>
              <w:widowControl/>
              <w:suppressAutoHyphens w:val="true"/>
              <w:spacing w:before="0" w:after="0"/>
              <w:jc w:val="both"/>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The student submits the completed Final Thesis topic registration form (Annex 3) to the department via the electronic method specified by the faculty. The wording of the Final Thesis topic (in Lithuanian and English) is discussed and, if necessary, refined at a department meeting within no more than 5 working days. The agreement on the Final Thesis topic is recorded in the minutes of the department meeting no later than the next working day, and a submission from the Head of the Department is prepared. If the Final Thesis topic was refined during the department meeting, the student submits the refined registration form to the department electronically.</w:t>
            </w:r>
          </w:p>
        </w:tc>
        <w:tc>
          <w:tcPr>
            <w:tcW w:w="2270" w:type="dxa"/>
            <w:tcBorders/>
          </w:tcPr>
          <w:p>
            <w:pPr>
              <w:pStyle w:val="Normal"/>
              <w:widowControl/>
              <w:suppressAutoHyphens w:val="true"/>
              <w:spacing w:before="0" w:after="0"/>
              <w:jc w:val="both"/>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By the date specified in the Final Thesis stages schedule.</w:t>
            </w:r>
          </w:p>
        </w:tc>
      </w:tr>
      <w:tr>
        <w:trPr/>
        <w:tc>
          <w:tcPr>
            <w:tcW w:w="562" w:type="dxa"/>
            <w:tcBorders/>
          </w:tcPr>
          <w:p>
            <w:pPr>
              <w:pStyle w:val="Normal"/>
              <w:widowControl/>
              <w:suppressAutoHyphens w:val="true"/>
              <w:spacing w:before="0" w:after="0"/>
              <w:jc w:val="start"/>
              <w:rPr>
                <w:rFonts w:ascii="Times New Roman" w:hAnsi="Times New Roman" w:eastAsia="Times New Roman" w:cs="Times New Roman"/>
                <w:kern w:val="0"/>
                <w:lang w:val="lt-LT" w:eastAsia="lt-LT" w:bidi="ar-SA"/>
              </w:rPr>
            </w:pPr>
            <w:r>
              <w:rPr>
                <w:rFonts w:eastAsia="Times New Roman" w:cs="Times New Roman"/>
                <w:kern w:val="0"/>
                <w:lang w:val="lt-LT" w:eastAsia="lt-LT" w:bidi="ar-SA"/>
              </w:rPr>
              <w:t>4.</w:t>
            </w:r>
          </w:p>
        </w:tc>
        <w:tc>
          <w:tcPr>
            <w:tcW w:w="1701" w:type="dxa"/>
            <w:tcBorders/>
          </w:tcPr>
          <w:p>
            <w:pPr>
              <w:pStyle w:val="Normal"/>
              <w:widowControl/>
              <w:suppressAutoHyphens w:val="true"/>
              <w:spacing w:before="0" w:after="0"/>
              <w:jc w:val="start"/>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Approval of Final Thesis topics by Dean’s order</w:t>
            </w:r>
            <w:r>
              <w:rPr>
                <w:rFonts w:eastAsia="Times New Roman" w:cs="Times New Roman"/>
                <w:kern w:val="0"/>
                <w:lang w:val="lt-LT" w:eastAsia="lt-LT" w:bidi="ar-SA"/>
              </w:rPr>
              <w:t xml:space="preserve"> </w:t>
            </w:r>
          </w:p>
        </w:tc>
        <w:tc>
          <w:tcPr>
            <w:tcW w:w="5243" w:type="dxa"/>
            <w:tcBorders/>
          </w:tcPr>
          <w:p>
            <w:pPr>
              <w:pStyle w:val="Normal"/>
              <w:widowControl/>
              <w:suppressAutoHyphens w:val="true"/>
              <w:spacing w:before="0" w:after="0"/>
              <w:jc w:val="both"/>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Final Thesis topics (in Lithuanian and English) are approved by the Dean upon the submission of the Head of the Department. A student may change their Final Thesis topic—having coordinated the change with the Final Thesis supervisor and the Head of the Department—by submitting a reasoned request to the Dean, provided this is done no later than 6 weeks before the Final Thesis defense</w:t>
            </w:r>
            <w:r>
              <w:rPr>
                <w:rFonts w:eastAsia="Times New Roman" w:cs="Times New Roman"/>
                <w:kern w:val="0"/>
                <w:lang w:val="lt-LT" w:eastAsia="lt-LT" w:bidi="ar-SA"/>
              </w:rPr>
              <w:t>.</w:t>
            </w:r>
          </w:p>
        </w:tc>
        <w:tc>
          <w:tcPr>
            <w:tcW w:w="2270" w:type="dxa"/>
            <w:tcBorders/>
          </w:tcPr>
          <w:p>
            <w:pPr>
              <w:pStyle w:val="Normal"/>
              <w:widowControl/>
              <w:suppressAutoHyphens w:val="true"/>
              <w:spacing w:before="0" w:after="0"/>
              <w:jc w:val="both"/>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The Dean grants approval no later than 5 working days after the date of the minutes of the department meeting where the Final Thesis topics were agreed upon.</w:t>
            </w:r>
            <w:r>
              <w:rPr>
                <w:rFonts w:eastAsia="Times New Roman" w:cs="Times New Roman"/>
                <w:kern w:val="0"/>
                <w:lang w:val="lt-LT" w:eastAsia="lt-LT" w:bidi="ar-SA"/>
              </w:rPr>
              <w:t xml:space="preserve"> </w:t>
            </w:r>
          </w:p>
        </w:tc>
      </w:tr>
      <w:tr>
        <w:trPr/>
        <w:tc>
          <w:tcPr>
            <w:tcW w:w="562" w:type="dxa"/>
            <w:tcBorders/>
          </w:tcPr>
          <w:p>
            <w:pPr>
              <w:pStyle w:val="Normal"/>
              <w:widowControl/>
              <w:suppressAutoHyphens w:val="true"/>
              <w:spacing w:before="0" w:after="0"/>
              <w:jc w:val="start"/>
              <w:rPr>
                <w:rFonts w:ascii="Times New Roman" w:hAnsi="Times New Roman" w:eastAsia="Times New Roman" w:cs="Times New Roman"/>
                <w:kern w:val="0"/>
                <w:lang w:val="lt-LT" w:eastAsia="lt-LT" w:bidi="ar-SA"/>
              </w:rPr>
            </w:pPr>
            <w:r>
              <w:rPr>
                <w:rFonts w:eastAsia="Times New Roman" w:cs="Times New Roman"/>
                <w:kern w:val="0"/>
                <w:lang w:val="lt-LT" w:eastAsia="lt-LT" w:bidi="ar-SA"/>
              </w:rPr>
              <w:t xml:space="preserve">5. </w:t>
            </w:r>
          </w:p>
        </w:tc>
        <w:tc>
          <w:tcPr>
            <w:tcW w:w="1701" w:type="dxa"/>
            <w:tcBorders/>
          </w:tcPr>
          <w:p>
            <w:pPr>
              <w:pStyle w:val="Normal"/>
              <w:widowControl/>
              <w:suppressAutoHyphens w:val="true"/>
              <w:spacing w:before="0" w:after="0"/>
              <w:jc w:val="start"/>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Review(s) of the Final Thesis by the Department Committee</w:t>
            </w:r>
            <w:r>
              <w:rPr>
                <w:rFonts w:eastAsia="Times New Roman" w:cs="Times New Roman"/>
                <w:kern w:val="0"/>
                <w:lang w:val="lt-LT" w:eastAsia="lt-LT" w:bidi="ar-SA"/>
              </w:rPr>
              <w:t xml:space="preserve"> </w:t>
            </w:r>
          </w:p>
        </w:tc>
        <w:tc>
          <w:tcPr>
            <w:tcW w:w="5243" w:type="dxa"/>
            <w:tcBorders/>
          </w:tcPr>
          <w:p>
            <w:pPr>
              <w:pStyle w:val="Normal"/>
              <w:widowControl/>
              <w:suppressAutoHyphens w:val="true"/>
              <w:spacing w:before="0" w:after="0"/>
              <w:jc w:val="both"/>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A Department committee consisting of three lecturers from the relevant field of study is appointed by the Dean’s order to conduct the review(s) and defense of the final thesis within the department. The organization of the review(s) and defense of the final thesis by the Department committee is governed by methodological guidelines. The purpose of the review(s) of the final thesis within the department is to assess the progress of the thesis preparation and the completion of the activities specified in the methodological guidelines.</w:t>
            </w:r>
          </w:p>
          <w:p>
            <w:pPr>
              <w:pStyle w:val="Normal"/>
              <w:widowControl/>
              <w:suppressAutoHyphens w:val="true"/>
              <w:spacing w:before="0" w:after="0"/>
              <w:jc w:val="both"/>
              <w:rPr>
                <w:rFonts w:ascii="Times New Roman" w:hAnsi="Times New Roman" w:eastAsia="Times New Roman" w:cs="Times New Roman"/>
                <w:kern w:val="0"/>
                <w:lang w:val="lt-LT" w:eastAsia="lt-LT" w:bidi="ar-SA"/>
              </w:rPr>
            </w:pPr>
            <w:r>
              <w:rPr/>
            </w:r>
          </w:p>
        </w:tc>
        <w:tc>
          <w:tcPr>
            <w:tcW w:w="2270" w:type="dxa"/>
            <w:vMerge w:val="restart"/>
            <w:tcBorders/>
          </w:tcPr>
          <w:p>
            <w:pPr>
              <w:pStyle w:val="Normal"/>
              <w:widowControl/>
              <w:suppressAutoHyphens w:val="true"/>
              <w:spacing w:before="0" w:after="0"/>
              <w:jc w:val="both"/>
              <w:rPr>
                <w:sz w:val="22"/>
                <w:szCs w:val="22"/>
              </w:rPr>
            </w:pPr>
            <w:r>
              <w:rPr>
                <w:rFonts w:eastAsia="Times New Roman" w:cs="Times New Roman"/>
                <w:kern w:val="0"/>
                <w:lang w:val="en-US" w:eastAsia="lt-LT" w:bidi="ar-SA"/>
              </w:rPr>
              <w:t>By the date specified in the Final Thesis stages schedule.</w:t>
            </w:r>
            <w:r>
              <w:rPr>
                <w:rFonts w:eastAsia="Times New Roman" w:cs="Times New Roman"/>
                <w:kern w:val="0"/>
                <w:lang w:val="lt-LT" w:eastAsia="lt-LT" w:bidi="ar-SA"/>
              </w:rPr>
              <w:t xml:space="preserve"> </w:t>
            </w:r>
          </w:p>
        </w:tc>
      </w:tr>
      <w:tr>
        <w:trPr/>
        <w:tc>
          <w:tcPr>
            <w:tcW w:w="562" w:type="dxa"/>
            <w:tcBorders/>
          </w:tcPr>
          <w:p>
            <w:pPr>
              <w:pStyle w:val="Normal"/>
              <w:widowControl/>
              <w:suppressAutoHyphens w:val="true"/>
              <w:spacing w:before="0" w:after="0"/>
              <w:jc w:val="start"/>
              <w:rPr>
                <w:rFonts w:ascii="Times New Roman" w:hAnsi="Times New Roman" w:eastAsia="Times New Roman" w:cs="Times New Roman"/>
                <w:kern w:val="0"/>
                <w:lang w:val="lt-LT" w:eastAsia="lt-LT" w:bidi="ar-SA"/>
              </w:rPr>
            </w:pPr>
            <w:r>
              <w:rPr>
                <w:rFonts w:eastAsia="Times New Roman" w:cs="Times New Roman"/>
                <w:kern w:val="0"/>
                <w:lang w:val="lt-LT" w:eastAsia="lt-LT" w:bidi="ar-SA"/>
              </w:rPr>
              <w:t>6.</w:t>
            </w:r>
          </w:p>
        </w:tc>
        <w:tc>
          <w:tcPr>
            <w:tcW w:w="1701" w:type="dxa"/>
            <w:tcBorders/>
          </w:tcPr>
          <w:p>
            <w:pPr>
              <w:pStyle w:val="Normal"/>
              <w:widowControl/>
              <w:suppressAutoHyphens w:val="true"/>
              <w:spacing w:before="0" w:after="0"/>
              <w:jc w:val="both"/>
              <w:rPr>
                <w:lang w:val="en-US"/>
              </w:rPr>
            </w:pPr>
            <w:r>
              <w:rPr>
                <w:lang w:val="en-US"/>
              </w:rPr>
            </w:r>
          </w:p>
        </w:tc>
        <w:tc>
          <w:tcPr>
            <w:tcW w:w="5243" w:type="dxa"/>
            <w:tcBorders/>
          </w:tcPr>
          <w:p>
            <w:pPr>
              <w:pStyle w:val="Normal"/>
              <w:widowControl/>
              <w:suppressAutoHyphens w:val="true"/>
              <w:spacing w:before="0" w:after="0"/>
              <w:jc w:val="both"/>
              <w:rPr>
                <w:strike/>
              </w:rPr>
            </w:pPr>
            <w:r>
              <w:rPr>
                <w:rFonts w:eastAsia="Times New Roman" w:cs="Times New Roman"/>
                <w:kern w:val="0"/>
                <w:lang w:val="en-US" w:eastAsia="lt-LT" w:bidi="ar-SA"/>
              </w:rPr>
              <w:t>Defense of the final thesis before the Department Commission The purpose of the defense before the Department Commission is to evaluate whether the final thesis complies with the methodological guidelines and the general requirements for the preparation of written study assignments. Meetings of the Department commission for the final thesis defense may be held in person or remotely. The student is required to attend the Department commission meeting and present their final thesis. By decision of the Department commission, students whose final thesis complies with the methodological guidelines and the General Requirements for the Preparation of Written Assignments are permitted to upload their thesis to VMA Moodle for a similarity check</w:t>
            </w:r>
            <w:r>
              <w:rPr>
                <w:rFonts w:eastAsia="Times New Roman" w:cs="Times New Roman"/>
                <w:kern w:val="0"/>
                <w:lang w:val="lt-LT" w:eastAsia="lt-LT" w:bidi="ar-SA"/>
              </w:rPr>
              <w:t>.</w:t>
            </w:r>
          </w:p>
        </w:tc>
        <w:tc>
          <w:tcPr>
            <w:tcW w:w="2270" w:type="dxa"/>
            <w:vMerge w:val="continue"/>
            <w:tcBorders/>
          </w:tcPr>
          <w:p>
            <w:pPr>
              <w:pStyle w:val="Normal"/>
              <w:widowControl/>
              <w:suppressAutoHyphens w:val="true"/>
              <w:spacing w:before="0" w:after="0"/>
              <w:jc w:val="both"/>
              <w:rPr>
                <w:rFonts w:ascii="Times New Roman" w:hAnsi="Times New Roman" w:eastAsia="Times New Roman" w:cs="Times New Roman"/>
                <w:kern w:val="0"/>
                <w:lang w:val="lt-LT" w:eastAsia="lt-LT" w:bidi="ar-SA"/>
              </w:rPr>
            </w:pPr>
            <w:r>
              <w:rPr>
                <w:rFonts w:eastAsia="Times New Roman" w:cs="Times New Roman"/>
                <w:kern w:val="0"/>
                <w:lang w:val="lt-LT" w:eastAsia="lt-LT" w:bidi="ar-SA"/>
              </w:rPr>
            </w:r>
          </w:p>
        </w:tc>
      </w:tr>
      <w:tr>
        <w:trPr/>
        <w:tc>
          <w:tcPr>
            <w:tcW w:w="562" w:type="dxa"/>
            <w:tcBorders/>
          </w:tcPr>
          <w:p>
            <w:pPr>
              <w:pStyle w:val="Normal"/>
              <w:widowControl/>
              <w:suppressAutoHyphens w:val="true"/>
              <w:spacing w:lineRule="auto" w:line="259" w:before="0" w:after="0"/>
              <w:jc w:val="start"/>
              <w:rPr>
                <w:rFonts w:ascii="Times New Roman" w:hAnsi="Times New Roman" w:eastAsia="Times New Roman" w:cs="Times New Roman"/>
                <w:kern w:val="0"/>
                <w:lang w:val="lt-LT" w:eastAsia="lt-LT" w:bidi="ar-SA"/>
              </w:rPr>
            </w:pPr>
            <w:r>
              <w:rPr>
                <w:rFonts w:eastAsia="Times New Roman" w:cs="Times New Roman"/>
                <w:kern w:val="0"/>
                <w:lang w:val="lt-LT" w:eastAsia="lt-LT" w:bidi="ar-SA"/>
              </w:rPr>
              <w:t>7.</w:t>
            </w:r>
          </w:p>
        </w:tc>
        <w:tc>
          <w:tcPr>
            <w:tcW w:w="1701" w:type="dxa"/>
            <w:tcBorders/>
          </w:tcPr>
          <w:p>
            <w:pPr>
              <w:pStyle w:val="Normal"/>
              <w:widowControl/>
              <w:suppressAutoHyphens w:val="true"/>
              <w:spacing w:before="0" w:after="0"/>
              <w:jc w:val="start"/>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 xml:space="preserve"> </w:t>
            </w:r>
            <w:r>
              <w:rPr>
                <w:rFonts w:eastAsia="Times New Roman" w:cs="Times New Roman"/>
                <w:kern w:val="0"/>
                <w:lang w:val="en-US" w:eastAsia="lt-LT" w:bidi="ar-SA"/>
              </w:rPr>
              <w:t>FT similarity check</w:t>
            </w:r>
            <w:r>
              <w:rPr>
                <w:rFonts w:eastAsia="Times New Roman" w:cs="Times New Roman"/>
                <w:kern w:val="0"/>
                <w:lang w:val="lt-LT" w:eastAsia="lt-LT" w:bidi="ar-SA"/>
              </w:rPr>
              <w:t xml:space="preserve"> </w:t>
            </w:r>
          </w:p>
        </w:tc>
        <w:tc>
          <w:tcPr>
            <w:tcW w:w="5243" w:type="dxa"/>
            <w:tcBorders/>
          </w:tcPr>
          <w:p>
            <w:pPr>
              <w:pStyle w:val="Normal"/>
              <w:widowControl/>
              <w:suppressAutoHyphens w:val="true"/>
              <w:spacing w:before="0" w:after="0"/>
              <w:jc w:val="both"/>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F</w:t>
            </w:r>
            <w:r>
              <w:rPr>
                <w:rFonts w:eastAsia="Times New Roman" w:cs="Times New Roman"/>
                <w:kern w:val="0"/>
                <w:lang w:val="en-US" w:eastAsia="lt-LT" w:bidi="ar-SA"/>
              </w:rPr>
              <w:t>Ts are checked using an electronic similarity-checking system integrated into the VMA Moodle platform, in accordance with the procedures and plagiarism detection criteria specified in the General Requirements for Written Study Papers</w:t>
            </w:r>
            <w:r>
              <w:rPr>
                <w:rFonts w:eastAsia="Times New Roman" w:cs="Times New Roman"/>
                <w:kern w:val="0"/>
                <w:lang w:val="lt-LT" w:eastAsia="lt-LT" w:bidi="ar-SA"/>
              </w:rPr>
              <w:t>.</w:t>
            </w:r>
          </w:p>
          <w:p>
            <w:pPr>
              <w:pStyle w:val="Normal"/>
              <w:widowControl/>
              <w:suppressAutoHyphens w:val="true"/>
              <w:spacing w:before="0" w:after="0"/>
              <w:jc w:val="both"/>
              <w:rPr>
                <w:rFonts w:ascii="Times New Roman" w:hAnsi="Times New Roman" w:eastAsia="Times New Roman" w:cs="Times New Roman"/>
                <w:kern w:val="0"/>
                <w:lang w:val="lt-LT" w:eastAsia="lt-LT" w:bidi="ar-SA"/>
              </w:rPr>
            </w:pPr>
            <w:r>
              <w:rPr>
                <w:rFonts w:eastAsia="Times New Roman" w:cs="Times New Roman"/>
                <w:color w:themeColor="text1" w:val="000000"/>
                <w:kern w:val="0"/>
                <w:lang w:val="en-US" w:eastAsia="lt-LT" w:bidi="ar-SA"/>
              </w:rPr>
              <w:t>VMA Moodle automatically generates an FT similarity report.</w:t>
            </w:r>
            <w:r>
              <w:rPr>
                <w:rFonts w:eastAsia="Times New Roman" w:cs="Times New Roman"/>
                <w:color w:themeColor="text1" w:val="000000"/>
                <w:kern w:val="0"/>
                <w:lang w:val="lt-LT" w:eastAsia="lt-LT" w:bidi="ar-SA"/>
              </w:rPr>
              <w:t xml:space="preserve"> </w:t>
            </w:r>
          </w:p>
          <w:p>
            <w:pPr>
              <w:pStyle w:val="Normal"/>
              <w:widowControl/>
              <w:suppressAutoHyphens w:val="true"/>
              <w:spacing w:before="0" w:after="0"/>
              <w:jc w:val="both"/>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 xml:space="preserve">The FT supervisor formulates a conclusion regarding the similarity check in the supervisor’s review (Annex 4), which is submitted to the Head of Department (or a designated department staff member) and the student. If plagiarism is detected, the FT supervisor must notify the student, the Head of Department, and the Dean via their official email within one working day, attaching the similarity report. The Dean prepares a submission to the </w:t>
            </w:r>
            <w:r>
              <w:rPr>
                <w:rFonts w:eastAsia="Times New Roman" w:cs="Times New Roman"/>
                <w:kern w:val="0"/>
                <w:lang w:val="lt-LT" w:eastAsia="lt-LT" w:bidi="ar-SA"/>
              </w:rPr>
              <w:t>R</w:t>
            </w:r>
            <w:r>
              <w:rPr>
                <w:rFonts w:eastAsia="Times New Roman" w:cs="Times New Roman"/>
                <w:kern w:val="0"/>
                <w:lang w:val="en-US" w:eastAsia="lt-LT" w:bidi="ar-SA"/>
              </w:rPr>
              <w:t xml:space="preserve">ector regarding the student's expulsion from the </w:t>
            </w:r>
            <w:r>
              <w:rPr>
                <w:rFonts w:eastAsia="Times New Roman" w:cs="Times New Roman"/>
                <w:kern w:val="0"/>
                <w:lang w:val="en-US" w:eastAsia="lt-LT" w:bidi="ar-SA"/>
              </w:rPr>
              <w:t>K</w:t>
            </w:r>
            <w:r>
              <w:rPr>
                <w:rFonts w:eastAsia="Times New Roman" w:cs="Times New Roman"/>
                <w:kern w:val="0"/>
                <w:lang w:val="lt-LT" w:eastAsia="lt-LT" w:bidi="ar-SA"/>
              </w:rPr>
              <w:t>olegija</w:t>
            </w:r>
            <w:r>
              <w:rPr>
                <w:rFonts w:eastAsia="Times New Roman" w:cs="Times New Roman"/>
                <w:kern w:val="0"/>
                <w:lang w:val="en-US" w:eastAsia="lt-LT" w:bidi="ar-SA"/>
              </w:rPr>
              <w:t xml:space="preserve"> and informs the Academic Ethics Committee of the plagiarism incident.</w:t>
            </w:r>
          </w:p>
        </w:tc>
        <w:tc>
          <w:tcPr>
            <w:tcW w:w="2270" w:type="dxa"/>
            <w:tcBorders/>
          </w:tcPr>
          <w:p>
            <w:pPr>
              <w:pStyle w:val="Normal"/>
              <w:widowControl/>
              <w:suppressAutoHyphens w:val="true"/>
              <w:spacing w:before="0" w:after="0"/>
              <w:jc w:val="both"/>
              <w:rPr>
                <w:strike/>
              </w:rPr>
            </w:pPr>
            <w:r>
              <w:rPr>
                <w:rFonts w:eastAsia="Times New Roman" w:cs="Times New Roman"/>
                <w:kern w:val="0"/>
                <w:lang w:val="lt-LT" w:eastAsia="lt-LT" w:bidi="ar-SA"/>
              </w:rPr>
              <w:t xml:space="preserve">Studentas BD turi įkelti patikrai per 2 d. d. po gynimo katedroje. </w:t>
            </w:r>
          </w:p>
          <w:p>
            <w:pPr>
              <w:pStyle w:val="Normal"/>
              <w:widowControl/>
              <w:suppressAutoHyphens w:val="true"/>
              <w:spacing w:before="0" w:after="0"/>
              <w:jc w:val="both"/>
              <w:rPr>
                <w:sz w:val="22"/>
                <w:szCs w:val="22"/>
              </w:rPr>
            </w:pPr>
            <w:r>
              <w:rPr>
                <w:rFonts w:eastAsia="Times New Roman" w:cs="Times New Roman"/>
                <w:color w:val="000000"/>
                <w:kern w:val="0"/>
                <w:shd w:fill="FFFFFF" w:val="clear"/>
                <w:lang w:val="lt-LT" w:eastAsia="lt-LT" w:bidi="ar-SA"/>
              </w:rPr>
              <w:t xml:space="preserve">Sugeneruotą BD sutapties ataskaitą </w:t>
            </w:r>
            <w:r>
              <w:rPr>
                <w:lang w:val="en-US"/>
              </w:rPr>
              <w:t>The FT supervisor reviews the generated similarity report and submits the FT review within no more than 3 working days.</w:t>
            </w:r>
            <w:r>
              <w:rPr/>
              <w:t xml:space="preserve"> </w:t>
            </w:r>
          </w:p>
        </w:tc>
      </w:tr>
      <w:tr>
        <w:trPr/>
        <w:tc>
          <w:tcPr>
            <w:tcW w:w="562" w:type="dxa"/>
            <w:tcBorders/>
          </w:tcPr>
          <w:p>
            <w:pPr>
              <w:pStyle w:val="Normal"/>
              <w:widowControl/>
              <w:suppressAutoHyphens w:val="true"/>
              <w:spacing w:lineRule="auto" w:line="259" w:before="0" w:after="0"/>
              <w:jc w:val="start"/>
              <w:rPr>
                <w:rFonts w:ascii="Times New Roman" w:hAnsi="Times New Roman" w:eastAsia="Times New Roman" w:cs="Times New Roman"/>
                <w:kern w:val="0"/>
                <w:lang w:val="lt-LT" w:eastAsia="lt-LT" w:bidi="ar-SA"/>
              </w:rPr>
            </w:pPr>
            <w:r>
              <w:rPr>
                <w:rFonts w:eastAsia="Times New Roman" w:cs="Times New Roman"/>
                <w:kern w:val="0"/>
                <w:lang w:val="lt-LT" w:eastAsia="lt-LT" w:bidi="ar-SA"/>
              </w:rPr>
              <w:t>8.</w:t>
            </w:r>
          </w:p>
        </w:tc>
        <w:tc>
          <w:tcPr>
            <w:tcW w:w="1701" w:type="dxa"/>
            <w:tcBorders/>
          </w:tcPr>
          <w:p>
            <w:pPr>
              <w:pStyle w:val="Normal"/>
              <w:widowControl/>
              <w:suppressAutoHyphens w:val="true"/>
              <w:spacing w:before="0" w:after="0"/>
              <w:jc w:val="start"/>
              <w:rPr>
                <w:rFonts w:ascii="Times New Roman" w:hAnsi="Times New Roman" w:eastAsia="Times New Roman" w:cs="Times New Roman"/>
                <w:kern w:val="0"/>
                <w:lang w:val="lt-LT" w:eastAsia="lt-LT" w:bidi="ar-SA"/>
              </w:rPr>
            </w:pPr>
            <w:r>
              <w:rPr>
                <w:rFonts w:eastAsia="Times New Roman" w:cs="Times New Roman"/>
                <w:kern w:val="0"/>
                <w:lang w:val="lt-LT" w:eastAsia="lt-LT" w:bidi="ar-SA"/>
              </w:rPr>
              <w:t>Permission to defend FT</w:t>
            </w:r>
          </w:p>
        </w:tc>
        <w:tc>
          <w:tcPr>
            <w:tcW w:w="5243" w:type="dxa"/>
            <w:tcBorders/>
          </w:tcPr>
          <w:p>
            <w:pPr>
              <w:pStyle w:val="Normal"/>
              <w:widowControl/>
              <w:suppressAutoHyphens w:val="true"/>
              <w:spacing w:before="0" w:after="0"/>
              <w:jc w:val="both"/>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Upon the recommendation of the Head of Department and by order of the Dean, permission is granted to defend FTs—in which no plagiarism has been detected—at the FT defense commission meeting</w:t>
            </w:r>
            <w:r>
              <w:rPr>
                <w:rFonts w:eastAsia="Times New Roman" w:cs="Times New Roman"/>
                <w:kern w:val="0"/>
                <w:lang w:val="lt-LT" w:eastAsia="lt-LT" w:bidi="ar-SA"/>
              </w:rPr>
              <w:t>.</w:t>
            </w:r>
          </w:p>
        </w:tc>
        <w:tc>
          <w:tcPr>
            <w:tcW w:w="2270" w:type="dxa"/>
            <w:tcBorders/>
          </w:tcPr>
          <w:p>
            <w:pPr>
              <w:pStyle w:val="Normal"/>
              <w:widowControl/>
              <w:suppressAutoHyphens w:val="true"/>
              <w:spacing w:before="0" w:after="0"/>
              <w:jc w:val="both"/>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T</w:t>
            </w:r>
            <w:r>
              <w:rPr>
                <w:rFonts w:eastAsia="Times New Roman" w:cs="Times New Roman"/>
                <w:kern w:val="0"/>
                <w:lang w:val="en-US" w:eastAsia="lt-LT" w:bidi="ar-SA"/>
              </w:rPr>
              <w:t>he Head of Department prepares the submission to the Dean within no more than 5 working days following the Department Commission’s decision.</w:t>
            </w:r>
          </w:p>
          <w:p>
            <w:pPr>
              <w:pStyle w:val="Normal"/>
              <w:widowControl/>
              <w:suppressAutoHyphens w:val="true"/>
              <w:spacing w:before="0" w:after="0"/>
              <w:jc w:val="both"/>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Permission to defend the FT and the appointment of reviewers are announced via the Dean’s order within 2 working days upon submission by the Head of Department to the Dean.</w:t>
            </w:r>
            <w:r>
              <w:rPr>
                <w:rFonts w:eastAsia="Times New Roman" w:cs="Times New Roman"/>
                <w:kern w:val="0"/>
                <w:lang w:val="lt-LT" w:eastAsia="lt-LT" w:bidi="ar-SA"/>
              </w:rPr>
              <w:t xml:space="preserve"> </w:t>
            </w:r>
          </w:p>
        </w:tc>
      </w:tr>
      <w:tr>
        <w:trPr/>
        <w:tc>
          <w:tcPr>
            <w:tcW w:w="562" w:type="dxa"/>
            <w:tcBorders/>
          </w:tcPr>
          <w:p>
            <w:pPr>
              <w:pStyle w:val="Normal"/>
              <w:widowControl/>
              <w:suppressAutoHyphens w:val="true"/>
              <w:spacing w:before="0" w:after="0"/>
              <w:jc w:val="start"/>
              <w:rPr>
                <w:rFonts w:ascii="Times New Roman" w:hAnsi="Times New Roman" w:eastAsia="Times New Roman" w:cs="Times New Roman"/>
                <w:kern w:val="0"/>
                <w:lang w:val="lt-LT" w:eastAsia="lt-LT" w:bidi="ar-SA"/>
              </w:rPr>
            </w:pPr>
            <w:r>
              <w:rPr>
                <w:rFonts w:eastAsia="Times New Roman" w:cs="Times New Roman"/>
                <w:kern w:val="0"/>
                <w:lang w:val="lt-LT" w:eastAsia="lt-LT" w:bidi="ar-SA"/>
              </w:rPr>
              <w:t>9.</w:t>
            </w:r>
          </w:p>
        </w:tc>
        <w:tc>
          <w:tcPr>
            <w:tcW w:w="1701" w:type="dxa"/>
            <w:tcBorders/>
          </w:tcPr>
          <w:p>
            <w:pPr>
              <w:pStyle w:val="Normal"/>
              <w:widowControl/>
              <w:suppressAutoHyphens w:val="true"/>
              <w:spacing w:before="0" w:after="0"/>
              <w:jc w:val="start"/>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Review of the F</w:t>
            </w:r>
            <w:r>
              <w:rPr>
                <w:rFonts w:eastAsia="Times New Roman" w:cs="Times New Roman"/>
                <w:kern w:val="0"/>
                <w:lang w:val="en-US" w:eastAsia="lt-LT" w:bidi="ar-SA"/>
              </w:rPr>
              <w:t>T</w:t>
            </w:r>
            <w:r>
              <w:rPr>
                <w:rFonts w:eastAsia="Times New Roman" w:cs="Times New Roman"/>
                <w:kern w:val="0"/>
                <w:lang w:val="en-US" w:eastAsia="lt-LT" w:bidi="ar-SA"/>
              </w:rPr>
              <w:t xml:space="preserve"> </w:t>
            </w:r>
          </w:p>
        </w:tc>
        <w:tc>
          <w:tcPr>
            <w:tcW w:w="5243" w:type="dxa"/>
            <w:tcBorders/>
          </w:tcPr>
          <w:p>
            <w:pPr>
              <w:pStyle w:val="Normal"/>
              <w:widowControl/>
              <w:suppressAutoHyphens w:val="true"/>
              <w:spacing w:before="0" w:after="0"/>
              <w:jc w:val="both"/>
              <w:rPr>
                <w:sz w:val="22"/>
                <w:szCs w:val="22"/>
              </w:rPr>
            </w:pPr>
            <w:r>
              <w:rPr>
                <w:lang w:val="en-US"/>
              </w:rPr>
              <w:t xml:space="preserve">The reviewer is an evaluator of the Final </w:t>
            </w:r>
            <w:r>
              <w:rPr>
                <w:lang w:val="en-US"/>
              </w:rPr>
              <w:t>Thesis</w:t>
            </w:r>
            <w:r>
              <w:rPr>
                <w:lang w:val="en-US"/>
              </w:rPr>
              <w:t xml:space="preserve"> holding at least a Master’s degree (or equivalent qualification) whose primary professional and/or research/artistic activity is related to the specific field of study. Final </w:t>
            </w:r>
            <w:r>
              <w:rPr>
                <w:lang w:val="en-US"/>
              </w:rPr>
              <w:t>Theses</w:t>
            </w:r>
            <w:r>
              <w:rPr>
                <w:lang w:val="en-US"/>
              </w:rPr>
              <w:t xml:space="preserve"> assigned for review are made available in the </w:t>
            </w:r>
            <w:r>
              <w:rPr>
                <w:lang w:val="en-US"/>
              </w:rPr>
              <w:t>Kolegija</w:t>
            </w:r>
            <w:r>
              <w:rPr>
                <w:lang w:val="en-US"/>
              </w:rPr>
              <w:t>’s electronic file repositories. The reviewer must be familiar with the methodological guidelines and the General Requirements for Written Study Papers, which serve as the basis for preparing the review (Annex 5)</w:t>
            </w:r>
            <w:r>
              <w:rPr>
                <w:rFonts w:eastAsia="Times New Roman" w:cs="Times New Roman"/>
                <w:kern w:val="0"/>
                <w:lang w:val="lt-LT" w:eastAsia="lt-LT" w:bidi="ar-SA"/>
              </w:rPr>
              <w:t>.</w:t>
            </w:r>
          </w:p>
        </w:tc>
        <w:tc>
          <w:tcPr>
            <w:tcW w:w="2270" w:type="dxa"/>
            <w:tcBorders/>
          </w:tcPr>
          <w:p>
            <w:pPr>
              <w:pStyle w:val="Normal"/>
              <w:widowControl/>
              <w:suppressAutoHyphens w:val="true"/>
              <w:spacing w:before="0" w:after="0"/>
              <w:jc w:val="both"/>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 xml:space="preserve">The reviewer sends the review via email to the Head of Department or a designated department staff member no later than one working day before the meeting of the Final </w:t>
            </w:r>
            <w:r>
              <w:rPr>
                <w:rFonts w:eastAsia="Times New Roman" w:cs="Times New Roman"/>
                <w:kern w:val="0"/>
                <w:lang w:val="en-US" w:eastAsia="lt-LT" w:bidi="ar-SA"/>
              </w:rPr>
              <w:t>Thesis</w:t>
            </w:r>
            <w:r>
              <w:rPr>
                <w:rFonts w:eastAsia="Times New Roman" w:cs="Times New Roman"/>
                <w:kern w:val="0"/>
                <w:lang w:val="en-US" w:eastAsia="lt-LT" w:bidi="ar-SA"/>
              </w:rPr>
              <w:t xml:space="preserve"> defense committee.</w:t>
            </w:r>
          </w:p>
        </w:tc>
      </w:tr>
      <w:tr>
        <w:trPr>
          <w:trHeight w:val="855" w:hRule="atLeast"/>
        </w:trPr>
        <w:tc>
          <w:tcPr>
            <w:tcW w:w="562" w:type="dxa"/>
            <w:tcBorders/>
          </w:tcPr>
          <w:p>
            <w:pPr>
              <w:pStyle w:val="Normal"/>
              <w:widowControl/>
              <w:suppressAutoHyphens w:val="true"/>
              <w:spacing w:before="0" w:after="0"/>
              <w:jc w:val="start"/>
              <w:rPr>
                <w:rFonts w:ascii="Times New Roman" w:hAnsi="Times New Roman" w:eastAsia="Times New Roman" w:cs="Times New Roman"/>
                <w:kern w:val="0"/>
                <w:lang w:val="lt-LT" w:eastAsia="lt-LT" w:bidi="ar-SA"/>
              </w:rPr>
            </w:pPr>
            <w:r>
              <w:rPr>
                <w:rFonts w:eastAsia="Times New Roman" w:cs="Times New Roman"/>
                <w:kern w:val="0"/>
                <w:lang w:val="lt-LT" w:eastAsia="lt-LT" w:bidi="ar-SA"/>
              </w:rPr>
              <w:t>10.</w:t>
            </w:r>
          </w:p>
        </w:tc>
        <w:tc>
          <w:tcPr>
            <w:tcW w:w="1701" w:type="dxa"/>
            <w:tcBorders/>
          </w:tcPr>
          <w:p>
            <w:pPr>
              <w:pStyle w:val="Normal"/>
              <w:widowControl/>
              <w:suppressAutoHyphens w:val="true"/>
              <w:spacing w:before="0" w:after="0"/>
              <w:jc w:val="start"/>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S</w:t>
            </w:r>
            <w:r>
              <w:rPr>
                <w:rFonts w:eastAsia="Times New Roman" w:cs="Times New Roman"/>
                <w:kern w:val="0"/>
                <w:lang w:val="en-US" w:eastAsia="lt-LT" w:bidi="ar-SA"/>
              </w:rPr>
              <w:t>tudent review of the assessment</w:t>
            </w:r>
            <w:r>
              <w:rPr>
                <w:rFonts w:eastAsia="Times New Roman" w:cs="Times New Roman"/>
                <w:kern w:val="0"/>
                <w:lang w:val="lt-LT" w:eastAsia="lt-LT" w:bidi="ar-SA"/>
              </w:rPr>
              <w:t xml:space="preserve"> </w:t>
            </w:r>
          </w:p>
        </w:tc>
        <w:tc>
          <w:tcPr>
            <w:tcW w:w="5243" w:type="dxa"/>
            <w:tcBorders/>
          </w:tcPr>
          <w:p>
            <w:pPr>
              <w:pStyle w:val="Normal"/>
              <w:widowControl/>
              <w:suppressAutoHyphens w:val="true"/>
              <w:spacing w:before="0" w:after="0"/>
              <w:jc w:val="both"/>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 xml:space="preserve">The Head of the Department or a designated staff member uploads the assessment to the </w:t>
            </w:r>
            <w:r>
              <w:rPr>
                <w:rFonts w:eastAsia="Times New Roman" w:cs="Times New Roman"/>
                <w:kern w:val="0"/>
                <w:lang w:val="lt-LT" w:eastAsia="lt-LT" w:bidi="ar-SA"/>
              </w:rPr>
              <w:t>Kolegija</w:t>
            </w:r>
            <w:r>
              <w:rPr>
                <w:rFonts w:eastAsia="Times New Roman" w:cs="Times New Roman"/>
                <w:kern w:val="0"/>
                <w:lang w:val="lt-LT" w:eastAsia="lt-LT" w:bidi="ar-SA"/>
              </w:rPr>
              <w:t>’s</w:t>
            </w:r>
            <w:r>
              <w:rPr>
                <w:rFonts w:eastAsia="Times New Roman" w:cs="Times New Roman"/>
                <w:kern w:val="0"/>
                <w:lang w:val="en-US" w:eastAsia="lt-LT" w:bidi="ar-SA"/>
              </w:rPr>
              <w:t xml:space="preserve"> electronic file repository, where students can access and review them</w:t>
            </w:r>
            <w:r>
              <w:rPr>
                <w:rFonts w:eastAsia="Times New Roman" w:cs="Times New Roman"/>
                <w:kern w:val="0"/>
                <w:lang w:val="lt-LT" w:eastAsia="lt-LT" w:bidi="ar-SA"/>
              </w:rPr>
              <w:t xml:space="preserve">. </w:t>
            </w:r>
          </w:p>
        </w:tc>
        <w:tc>
          <w:tcPr>
            <w:tcW w:w="2270" w:type="dxa"/>
            <w:tcBorders/>
          </w:tcPr>
          <w:p>
            <w:pPr>
              <w:pStyle w:val="Normal"/>
              <w:widowControl/>
              <w:suppressAutoHyphens w:val="true"/>
              <w:spacing w:before="0" w:after="0"/>
              <w:jc w:val="both"/>
              <w:rPr>
                <w:rFonts w:ascii="Times New Roman" w:hAnsi="Times New Roman" w:eastAsia="Times New Roman" w:cs="Times New Roman"/>
                <w:kern w:val="0"/>
                <w:lang w:val="lt-LT" w:eastAsia="lt-LT" w:bidi="ar-SA"/>
              </w:rPr>
            </w:pPr>
            <w:r>
              <w:rPr>
                <w:rFonts w:eastAsia="Times New Roman" w:cs="Times New Roman"/>
                <w:kern w:val="0"/>
                <w:lang w:val="en-US" w:eastAsia="lt-LT" w:bidi="ar-SA"/>
              </w:rPr>
              <w:t>No later than one working day before the final thesis defense.</w:t>
            </w:r>
            <w:r>
              <w:rPr>
                <w:rFonts w:eastAsia="Times New Roman" w:cs="Times New Roman"/>
                <w:kern w:val="0"/>
                <w:lang w:val="lt-LT" w:eastAsia="lt-LT" w:bidi="ar-SA"/>
              </w:rPr>
              <w:t xml:space="preserve">  </w:t>
            </w:r>
          </w:p>
        </w:tc>
      </w:tr>
    </w:tbl>
    <w:p>
      <w:pPr>
        <w:pStyle w:val="Normal"/>
        <w:spacing w:lineRule="auto" w:line="276"/>
        <w:rPr/>
      </w:pPr>
      <w:r>
        <w:rPr/>
      </w:r>
    </w:p>
    <w:p>
      <w:pPr>
        <w:pStyle w:val="ListParagraph"/>
        <w:numPr>
          <w:ilvl w:val="0"/>
          <w:numId w:val="0"/>
        </w:numPr>
        <w:tabs>
          <w:tab w:val="clear" w:pos="1296"/>
          <w:tab w:val="left" w:pos="851" w:leader="none"/>
        </w:tabs>
        <w:spacing w:lineRule="auto" w:line="360"/>
        <w:ind w:hanging="0" w:start="0"/>
        <w:jc w:val="both"/>
        <w:rPr/>
      </w:pPr>
      <w:r>
        <w:rPr>
          <w:lang w:val="en-US"/>
        </w:rPr>
        <w:t xml:space="preserve">    </w:t>
      </w:r>
      <w:r>
        <w:rPr>
          <w:lang w:val="en-US"/>
        </w:rPr>
        <w:tab/>
      </w:r>
      <w:r>
        <w:rPr>
          <w:lang w:val="en-US"/>
        </w:rPr>
        <w:t>12</w:t>
      </w:r>
      <w:r>
        <w:rPr>
          <w:lang w:val="en-US"/>
        </w:rPr>
        <w:t xml:space="preserve">.  </w:t>
      </w:r>
      <w:r>
        <w:rPr>
          <w:lang w:val="en-US"/>
        </w:rPr>
        <w:t>Final theses are defended at a public meeting of the final thesis defense commission in accordance with the schedule prepared by the Head of the Department and approved by the Dean; this schedule is published on the faculty’s website no later than 5 working days prior to the defense. In exceptional cases, if a student is unable to attend the defense for valid reasons, they have the right—no later than 3 working days before the scheduled defense—to request permission from the Dean of the faculty organizing the studies to defend the thesis via videoconference. In such cases, the defense must be recorde</w:t>
      </w:r>
      <w:r>
        <w:rPr>
          <w:lang w:val="en-US"/>
        </w:rPr>
        <w:t>d</w:t>
      </w:r>
      <w:r>
        <w:rPr/>
        <w:t>.</w:t>
      </w:r>
    </w:p>
    <w:p>
      <w:pPr>
        <w:pStyle w:val="ListParagraph"/>
        <w:widowControl/>
        <w:numPr>
          <w:ilvl w:val="0"/>
          <w:numId w:val="0"/>
        </w:numPr>
        <w:tabs>
          <w:tab w:val="clear" w:pos="1296"/>
          <w:tab w:val="left" w:pos="851" w:leader="none"/>
        </w:tabs>
        <w:suppressAutoHyphens w:val="true"/>
        <w:bidi w:val="0"/>
        <w:spacing w:lineRule="auto" w:line="360" w:before="0" w:after="0"/>
        <w:ind w:hanging="0" w:start="0" w:end="0"/>
        <w:contextualSpacing/>
        <w:jc w:val="both"/>
        <w:rPr/>
      </w:pPr>
      <w:r>
        <w:rPr>
          <w:color w:themeColor="text1" w:val="000000"/>
        </w:rPr>
        <w:t xml:space="preserve">            </w:t>
      </w:r>
      <w:r>
        <w:rPr>
          <w:color w:themeColor="text1" w:val="000000"/>
        </w:rPr>
        <w:t>13. T</w:t>
      </w:r>
      <w:r>
        <w:rPr>
          <w:lang w:val="en-US"/>
        </w:rPr>
        <w:t xml:space="preserve">o evaluate the final thesis (and award the qualification, if stipulated by legal acts), a three-member final thesis defense commission is appointed each academic year by the </w:t>
      </w:r>
      <w:r>
        <w:rPr>
          <w:lang w:val="en-US"/>
        </w:rPr>
        <w:t>R</w:t>
      </w:r>
      <w:r>
        <w:rPr>
          <w:lang w:val="en-US"/>
        </w:rPr>
        <w:t xml:space="preserve">ector’s order no later than one week prior to the defense (unless higher-level legal acts provide otherwise). Two-thirds of the commission members must be representatives of social partners holding at least a Master’s degree or an equivalent higher education qualification. One of the social partners is appointed as the chairperson of the commission by the </w:t>
      </w:r>
      <w:r>
        <w:rPr>
          <w:lang w:val="en-US"/>
        </w:rPr>
        <w:t>R</w:t>
      </w:r>
      <w:r>
        <w:rPr>
          <w:lang w:val="en-US"/>
        </w:rPr>
        <w:t xml:space="preserve">ector’s order. A staff member of the </w:t>
      </w:r>
      <w:r>
        <w:rPr>
          <w:lang w:val="en-US"/>
        </w:rPr>
        <w:t>Kolegija</w:t>
      </w:r>
      <w:r>
        <w:rPr>
          <w:lang w:val="en-US"/>
        </w:rPr>
        <w:t xml:space="preserve"> may not be appointed to the commission if the student defending the thesis was supervised by that staff membe</w:t>
      </w:r>
      <w:r>
        <w:rPr>
          <w:lang w:val="en-US"/>
        </w:rPr>
        <w:t>r</w:t>
      </w:r>
      <w:r>
        <w:rPr/>
        <w:t>.</w:t>
      </w:r>
    </w:p>
    <w:p>
      <w:pPr>
        <w:pStyle w:val="ListParagraph"/>
        <w:numPr>
          <w:ilvl w:val="0"/>
          <w:numId w:val="0"/>
        </w:numPr>
        <w:tabs>
          <w:tab w:val="clear" w:pos="1296"/>
          <w:tab w:val="left" w:pos="851" w:leader="none"/>
        </w:tabs>
        <w:spacing w:lineRule="auto" w:line="360"/>
        <w:ind w:hanging="0" w:start="0"/>
        <w:jc w:val="both"/>
        <w:rPr>
          <w:color w:themeColor="text1" w:val="000000"/>
        </w:rPr>
      </w:pPr>
      <w:r>
        <w:rPr>
          <w:color w:themeColor="text1" w:val="000000"/>
        </w:rPr>
        <w:t xml:space="preserve">          </w:t>
      </w:r>
      <w:r>
        <w:rPr>
          <w:color w:themeColor="text1" w:val="000000"/>
        </w:rPr>
        <w:t>14</w:t>
      </w:r>
      <w:r>
        <w:rPr>
          <w:color w:themeColor="text1" w:val="000000"/>
        </w:rPr>
        <w:t xml:space="preserve">. </w:t>
      </w:r>
      <w:r>
        <w:rPr>
          <w:lang w:val="en-US"/>
        </w:rPr>
        <w:t>For the evaluation of final theses in joint study program</w:t>
      </w:r>
      <w:r>
        <w:rPr>
          <w:lang w:val="en-US"/>
        </w:rPr>
        <w:t>me</w:t>
      </w:r>
      <w:r>
        <w:rPr>
          <w:lang w:val="en-US"/>
        </w:rPr>
        <w:t>s and double-degree program</w:t>
      </w:r>
      <w:r>
        <w:rPr>
          <w:lang w:val="en-US"/>
        </w:rPr>
        <w:t>me</w:t>
      </w:r>
      <w:r>
        <w:rPr>
          <w:lang w:val="en-US"/>
        </w:rPr>
        <w:t>s, a defense commission is formed with a composition as stipulated in the agreement regarding the joint study program</w:t>
      </w:r>
      <w:r>
        <w:rPr>
          <w:lang w:val="en-US"/>
        </w:rPr>
        <w:t>me</w:t>
      </w:r>
      <w:r>
        <w:rPr>
          <w:lang w:val="en-US"/>
        </w:rPr>
        <w:t xml:space="preserve"> or the double-degree diploma.</w:t>
      </w:r>
    </w:p>
    <w:p>
      <w:pPr>
        <w:pStyle w:val="ListParagraph"/>
        <w:numPr>
          <w:ilvl w:val="0"/>
          <w:numId w:val="0"/>
        </w:numPr>
        <w:tabs>
          <w:tab w:val="clear" w:pos="1296"/>
          <w:tab w:val="left" w:pos="851" w:leader="none"/>
        </w:tabs>
        <w:spacing w:lineRule="auto" w:line="360"/>
        <w:ind w:hanging="0" w:start="0"/>
        <w:jc w:val="both"/>
        <w:rPr/>
      </w:pPr>
      <w:r>
        <w:rPr/>
        <w:t xml:space="preserve">                  </w:t>
      </w:r>
      <w:r>
        <w:rPr/>
        <w:t xml:space="preserve">15. </w:t>
      </w:r>
      <w:r>
        <w:rPr>
          <w:lang w:val="en-US"/>
        </w:rPr>
        <w:t>Prior to the meeting, the Final Thesis Defense Commission reviews the final thesis, the reviews and supervisor evaluations, the assessment criteria, and the Dean’s order authorizing the defense</w:t>
      </w:r>
      <w:r>
        <w:rPr/>
        <w:t xml:space="preserve"> .</w:t>
      </w:r>
    </w:p>
    <w:p>
      <w:pPr>
        <w:pStyle w:val="ListParagraph"/>
        <w:numPr>
          <w:ilvl w:val="0"/>
          <w:numId w:val="0"/>
        </w:numPr>
        <w:tabs>
          <w:tab w:val="clear" w:pos="1296"/>
          <w:tab w:val="left" w:pos="851" w:leader="none"/>
        </w:tabs>
        <w:spacing w:lineRule="auto" w:line="360"/>
        <w:ind w:hanging="0" w:start="0"/>
        <w:jc w:val="both"/>
        <w:rPr/>
      </w:pPr>
      <w:r>
        <w:rPr/>
        <w:t xml:space="preserve">      </w:t>
      </w:r>
      <w:r>
        <w:rPr/>
        <w:tab/>
        <w:t xml:space="preserve">   16. </w:t>
      </w:r>
      <w:r>
        <w:rPr>
          <w:lang w:val="en-US"/>
        </w:rPr>
        <w:t xml:space="preserve">The minutes of the Final Thesis Defense Commission meeting are recorded by the commission secretary, who is appointed by the </w:t>
      </w:r>
      <w:r>
        <w:rPr>
          <w:lang w:val="lt-LT"/>
        </w:rPr>
        <w:t>R</w:t>
      </w:r>
      <w:r>
        <w:rPr>
          <w:lang w:val="en-US"/>
        </w:rPr>
        <w:t>ector’s order (Annex 6)</w:t>
      </w:r>
      <w:r>
        <w:rPr/>
        <w:t xml:space="preserve"> . </w:t>
      </w:r>
    </w:p>
    <w:p>
      <w:pPr>
        <w:pStyle w:val="ListParagraph"/>
        <w:numPr>
          <w:ilvl w:val="0"/>
          <w:numId w:val="0"/>
        </w:numPr>
        <w:tabs>
          <w:tab w:val="clear" w:pos="1296"/>
          <w:tab w:val="left" w:pos="851" w:leader="none"/>
        </w:tabs>
        <w:spacing w:lineRule="auto" w:line="360"/>
        <w:ind w:hanging="0" w:start="0"/>
        <w:jc w:val="both"/>
        <w:rPr/>
      </w:pPr>
      <w:r>
        <w:rPr/>
        <w:t xml:space="preserve">                </w:t>
      </w:r>
      <w:r>
        <w:rPr/>
        <w:t>17.</w:t>
      </w:r>
      <w:r>
        <w:rPr>
          <w:lang w:val="en-US"/>
        </w:rPr>
        <w:t>Following the meeting, the Final Thesis Defense Commission discusses and evaluates the thesis in a closed session. The structure of the final grade is determined by the course description for the final thesis. The reviewer’s assessment must account for 15–25% of the final grade</w:t>
      </w:r>
      <w:bookmarkStart w:id="2" w:name="_Hlk230848008"/>
      <w:r>
        <w:rPr>
          <w:lang w:val="en-US"/>
        </w:rPr>
        <w:t>.</w:t>
      </w:r>
      <w:bookmarkEnd w:id="2"/>
    </w:p>
    <w:p>
      <w:pPr>
        <w:pStyle w:val="ListParagraph"/>
        <w:numPr>
          <w:ilvl w:val="0"/>
          <w:numId w:val="0"/>
        </w:numPr>
        <w:tabs>
          <w:tab w:val="clear" w:pos="1296"/>
          <w:tab w:val="left" w:pos="851" w:leader="none"/>
        </w:tabs>
        <w:spacing w:lineRule="auto" w:line="360"/>
        <w:ind w:hanging="0" w:start="0"/>
        <w:jc w:val="both"/>
        <w:rPr/>
      </w:pPr>
      <w:r>
        <w:rPr/>
        <w:t xml:space="preserve">          </w:t>
      </w:r>
      <w:r>
        <w:rPr/>
        <w:tab/>
        <w:t xml:space="preserve">   18. </w:t>
      </w:r>
      <w:r>
        <w:rPr>
          <w:lang w:val="en-US"/>
        </w:rPr>
        <w:t xml:space="preserve">The commission secretary enters the final grades into the Academic Information System (AIS) no later than 3 working days after the commission meeting. </w:t>
      </w:r>
    </w:p>
    <w:p>
      <w:pPr>
        <w:pStyle w:val="ListParagraph"/>
        <w:numPr>
          <w:ilvl w:val="0"/>
          <w:numId w:val="0"/>
        </w:numPr>
        <w:tabs>
          <w:tab w:val="clear" w:pos="1296"/>
          <w:tab w:val="left" w:pos="851" w:leader="none"/>
        </w:tabs>
        <w:spacing w:lineRule="auto" w:line="360"/>
        <w:ind w:hanging="0" w:start="0"/>
        <w:jc w:val="both"/>
        <w:rPr/>
      </w:pPr>
      <w:r>
        <w:rPr>
          <w:lang w:val="en-US"/>
        </w:rPr>
        <w:t xml:space="preserve">                  </w:t>
      </w:r>
      <w:r>
        <w:rPr>
          <w:lang w:val="en-US"/>
        </w:rPr>
        <w:t>19. No later than 5 working days after the conclusion of the defense, the chairperson of the Final Thesis Defense Commission submits a report (Annex 7) to the commission secretary; this report summarizes the commission’s opinion and evaluates the organization of the defense, the overall quality of the students' theses, and proposals for improving the quality of thesis preparation, topics, and the organization of the defense</w:t>
      </w:r>
      <w:r>
        <w:rPr/>
        <w:t>.</w:t>
      </w:r>
    </w:p>
    <w:p>
      <w:pPr>
        <w:pStyle w:val="Normal"/>
        <w:jc w:val="both"/>
        <w:rPr/>
      </w:pPr>
      <w:r>
        <w:rPr/>
      </w:r>
    </w:p>
    <w:p>
      <w:pPr>
        <w:pStyle w:val="Normal"/>
        <w:spacing w:lineRule="auto" w:line="276"/>
        <w:jc w:val="center"/>
        <w:rPr>
          <w:b/>
          <w:bCs/>
          <w:color w:themeColor="text1" w:val="000000"/>
        </w:rPr>
      </w:pPr>
      <w:r>
        <w:rPr>
          <w:b/>
          <w:bCs/>
          <w:color w:themeColor="text1" w:val="000000"/>
        </w:rPr>
        <w:t>CHAPTER III</w:t>
      </w:r>
    </w:p>
    <w:p>
      <w:pPr>
        <w:pStyle w:val="Normal"/>
        <w:spacing w:lineRule="auto" w:line="276"/>
        <w:jc w:val="center"/>
        <w:rPr>
          <w:b/>
          <w:bCs/>
          <w:color w:themeColor="text1" w:val="000000"/>
        </w:rPr>
      </w:pPr>
      <w:r>
        <w:rPr>
          <w:b/>
          <w:bCs/>
          <w:color w:themeColor="text1" w:val="000000"/>
          <w:lang w:val="en-US"/>
        </w:rPr>
        <w:t>STORAGE OF FINAL THESES</w:t>
      </w:r>
      <w:r>
        <w:rPr>
          <w:b/>
          <w:bCs/>
          <w:color w:themeColor="text1" w:val="000000"/>
        </w:rPr>
        <w:t xml:space="preserve"> </w:t>
      </w:r>
    </w:p>
    <w:p>
      <w:pPr>
        <w:pStyle w:val="Normal"/>
        <w:jc w:val="both"/>
        <w:rPr/>
      </w:pPr>
      <w:r>
        <w:rPr/>
      </w:r>
    </w:p>
    <w:p>
      <w:pPr>
        <w:pStyle w:val="ListParagraph"/>
        <w:numPr>
          <w:ilvl w:val="0"/>
          <w:numId w:val="0"/>
        </w:numPr>
        <w:tabs>
          <w:tab w:val="clear" w:pos="1296"/>
          <w:tab w:val="left" w:pos="851" w:leader="none"/>
        </w:tabs>
        <w:spacing w:lineRule="auto" w:line="360"/>
        <w:ind w:hanging="0" w:start="0"/>
        <w:jc w:val="both"/>
        <w:rPr/>
      </w:pPr>
      <w:r>
        <w:rPr>
          <w:lang w:val="en-US"/>
        </w:rPr>
        <w:t xml:space="preserve">                   </w:t>
      </w:r>
      <w:r>
        <w:rPr>
          <w:lang w:val="en-US"/>
        </w:rPr>
        <w:t xml:space="preserve">20. </w:t>
      </w:r>
      <w:r>
        <w:rPr>
          <w:lang w:val="en-US"/>
        </w:rPr>
        <w:t xml:space="preserve">Following the defense of the final thesis, the Head of the Department, together with an authorized department staff member and/or the faculty IT specialist, arranges for the transfer of the final theses (uploaded to the </w:t>
      </w:r>
      <w:r>
        <w:rPr>
          <w:lang w:val="lt-LT"/>
        </w:rPr>
        <w:t>Kolegija</w:t>
      </w:r>
      <w:r>
        <w:rPr>
          <w:lang w:val="en-US"/>
        </w:rPr>
        <w:t xml:space="preserve">’s Moodle VLE), supervisors’ comments, reviews, defense video recordings (if applicable), and other related materials to the </w:t>
      </w:r>
      <w:r>
        <w:rPr>
          <w:lang w:val="lt-LT"/>
        </w:rPr>
        <w:t>Kolegija</w:t>
      </w:r>
      <w:r>
        <w:rPr>
          <w:lang w:val="en-US"/>
        </w:rPr>
        <w:t>’s electronic file repository and/or an external storage medium (if the department has chosen to use one based on the specific nature of the thesis)</w:t>
      </w:r>
      <w:r>
        <w:rPr/>
        <w:t xml:space="preserve"> .</w:t>
      </w:r>
    </w:p>
    <w:p>
      <w:pPr>
        <w:pStyle w:val="ListParagraph"/>
        <w:numPr>
          <w:ilvl w:val="0"/>
          <w:numId w:val="0"/>
        </w:numPr>
        <w:tabs>
          <w:tab w:val="clear" w:pos="1296"/>
          <w:tab w:val="left" w:pos="851" w:leader="none"/>
        </w:tabs>
        <w:spacing w:lineRule="auto" w:line="360"/>
        <w:ind w:hanging="0" w:start="0"/>
        <w:jc w:val="both"/>
        <w:rPr/>
      </w:pPr>
      <w:r>
        <w:rPr>
          <w:lang w:val="en-US"/>
        </w:rPr>
        <w:t xml:space="preserve">                  </w:t>
      </w:r>
      <w:r>
        <w:rPr>
          <w:lang w:val="en-US"/>
        </w:rPr>
        <w:t xml:space="preserve">21. </w:t>
      </w:r>
      <w:r>
        <w:rPr>
          <w:lang w:val="en-US"/>
        </w:rPr>
        <w:t>The Head of the Department hands over the external storage medium to the Dean of the Faculty.</w:t>
      </w:r>
    </w:p>
    <w:p>
      <w:pPr>
        <w:pStyle w:val="ListParagraph"/>
        <w:numPr>
          <w:ilvl w:val="0"/>
          <w:numId w:val="0"/>
        </w:numPr>
        <w:tabs>
          <w:tab w:val="clear" w:pos="1296"/>
          <w:tab w:val="left" w:pos="851" w:leader="none"/>
        </w:tabs>
        <w:spacing w:lineRule="auto" w:line="360"/>
        <w:ind w:hanging="0" w:start="0"/>
        <w:jc w:val="both"/>
        <w:rPr/>
      </w:pPr>
      <w:r>
        <w:rPr>
          <w:lang w:val="en-US"/>
        </w:rPr>
        <w:t xml:space="preserve">                 </w:t>
      </w:r>
      <w:r>
        <w:rPr>
          <w:lang w:val="en-US"/>
        </w:rPr>
        <w:t xml:space="preserve">22. </w:t>
      </w:r>
      <w:r>
        <w:rPr>
          <w:lang w:val="en-US"/>
        </w:rPr>
        <w:t xml:space="preserve">All data related to final theses stored in the </w:t>
      </w:r>
      <w:r>
        <w:rPr>
          <w:lang w:val="lt-LT"/>
        </w:rPr>
        <w:t>KolegijafD</w:t>
      </w:r>
      <w:r>
        <w:rPr>
          <w:lang w:val="en-US"/>
        </w:rPr>
        <w:t>’s electronic file repository and/or on external storage media shall be retained for three years following the defense. After three years, the destruction of this data is carried out by order of the Dean</w:t>
      </w:r>
      <w:r>
        <w:rPr/>
        <w:t>.</w:t>
      </w:r>
    </w:p>
    <w:p>
      <w:pPr>
        <w:pStyle w:val="Normal"/>
        <w:jc w:val="both"/>
        <w:rPr/>
      </w:pPr>
      <w:r>
        <w:rPr/>
      </w:r>
    </w:p>
    <w:p>
      <w:pPr>
        <w:pStyle w:val="Normal"/>
        <w:spacing w:lineRule="auto" w:line="276"/>
        <w:jc w:val="center"/>
        <w:rPr>
          <w:b/>
          <w:bCs/>
          <w:color w:themeColor="text1" w:val="000000"/>
        </w:rPr>
      </w:pPr>
      <w:r>
        <w:rPr>
          <w:b/>
          <w:bCs/>
          <w:color w:themeColor="text1" w:val="000000"/>
        </w:rPr>
        <w:t>CHAPTER IV</w:t>
      </w:r>
    </w:p>
    <w:p>
      <w:pPr>
        <w:pStyle w:val="Normal"/>
        <w:spacing w:lineRule="auto" w:line="276"/>
        <w:jc w:val="center"/>
        <w:rPr>
          <w:b/>
          <w:bCs/>
          <w:color w:themeColor="text1" w:val="000000"/>
        </w:rPr>
      </w:pPr>
      <w:r>
        <w:rPr>
          <w:b/>
          <w:bCs/>
          <w:color w:themeColor="text1" w:val="000000"/>
        </w:rPr>
        <w:t>FINAL PROVISIONS</w:t>
      </w:r>
    </w:p>
    <w:p>
      <w:pPr>
        <w:pStyle w:val="Normal"/>
        <w:jc w:val="both"/>
        <w:rPr/>
      </w:pPr>
      <w:r>
        <w:rPr/>
      </w:r>
    </w:p>
    <w:p>
      <w:pPr>
        <w:pStyle w:val="ListParagraph"/>
        <w:numPr>
          <w:ilvl w:val="0"/>
          <w:numId w:val="0"/>
        </w:numPr>
        <w:tabs>
          <w:tab w:val="clear" w:pos="1296"/>
          <w:tab w:val="left" w:pos="851" w:leader="none"/>
        </w:tabs>
        <w:spacing w:lineRule="auto" w:line="360"/>
        <w:ind w:hanging="0" w:start="0"/>
        <w:jc w:val="both"/>
        <w:rPr/>
      </w:pPr>
      <w:r>
        <w:rPr/>
        <w:t xml:space="preserve">                </w:t>
      </w:r>
      <w:r>
        <w:rPr/>
        <w:t xml:space="preserve">23. </w:t>
      </w:r>
      <w:r>
        <w:rPr>
          <w:lang w:val="en-US"/>
        </w:rPr>
        <w:t>For students unable to prepare and defend their Final Thesis before the Department or the Final Thesis Defense Commission at the scheduled time due to valid reasons (illness, childbirth, accident, death of a family member), the defense may be postponed until the next meeting of the Final Thesis Defense Commission by order of the Dean, upon the student's request</w:t>
      </w:r>
      <w:r>
        <w:rPr/>
        <w:t>.</w:t>
      </w:r>
    </w:p>
    <w:p>
      <w:pPr>
        <w:pStyle w:val="ListParagraph"/>
        <w:tabs>
          <w:tab w:val="clear" w:pos="1296"/>
          <w:tab w:val="left" w:pos="851" w:leader="none"/>
        </w:tabs>
        <w:spacing w:lineRule="auto" w:line="360"/>
        <w:ind w:firstLine="360" w:start="0"/>
        <w:jc w:val="both"/>
        <w:rPr/>
      </w:pPr>
      <w:r>
        <w:rPr/>
        <w:t xml:space="preserve">          </w:t>
      </w:r>
      <w:r>
        <w:rPr/>
        <w:t>24.</w:t>
      </w:r>
      <w:r>
        <w:rPr>
          <w:lang w:val="en-US"/>
        </w:rPr>
        <w:t xml:space="preserve">Students who fail to prepare or submit their Final Thesis by the established deadline, fail to appear for the defense before the Department or the Final Thesis Defense Commission without a valid reason (as specified above), fail to defend their Final Thesis, or whose Final Thesis is found to contain plagiarism shall be removed from the list of students. </w:t>
      </w:r>
    </w:p>
    <w:p>
      <w:pPr>
        <w:pStyle w:val="ListParagraph"/>
        <w:tabs>
          <w:tab w:val="clear" w:pos="1296"/>
          <w:tab w:val="left" w:pos="851" w:leader="none"/>
        </w:tabs>
        <w:spacing w:lineRule="auto" w:line="360"/>
        <w:ind w:firstLine="360" w:start="0"/>
        <w:jc w:val="both"/>
        <w:rPr/>
      </w:pPr>
      <w:r>
        <w:rPr>
          <w:lang w:val="en-US"/>
        </w:rPr>
        <w:t xml:space="preserve">         </w:t>
      </w:r>
      <w:r>
        <w:rPr>
          <w:lang w:val="en-US"/>
        </w:rPr>
        <w:t xml:space="preserve">25. The procedure for submitting and reviewing appeals regarding violations of the Final Thesis defense process is established by the </w:t>
      </w:r>
      <w:r>
        <w:rPr>
          <w:lang w:val="lt-LT"/>
        </w:rPr>
        <w:t>Vilni</w:t>
      </w:r>
      <w:r>
        <w:rPr>
          <w:lang w:val="lt-LT"/>
        </w:rPr>
        <w:t>a</w:t>
      </w:r>
      <w:r>
        <w:rPr>
          <w:lang w:val="lt-LT"/>
        </w:rPr>
        <w:t>us</w:t>
      </w:r>
      <w:r>
        <w:rPr>
          <w:lang w:val="en-US"/>
        </w:rPr>
        <w:t xml:space="preserve"> </w:t>
      </w:r>
      <w:r>
        <w:rPr>
          <w:lang w:val="lt-LT"/>
        </w:rPr>
        <w:t>Kolegija/Higher Education Institution</w:t>
      </w:r>
      <w:r>
        <w:rPr>
          <w:lang w:val="en-US"/>
        </w:rPr>
        <w:t xml:space="preserve"> regulations on appeals</w:t>
      </w:r>
      <w:bookmarkStart w:id="3" w:name="_Hlk230847523"/>
      <w:r>
        <w:rPr/>
        <w:t>.</w:t>
      </w:r>
      <w:bookmarkEnd w:id="3"/>
    </w:p>
    <w:p>
      <w:pPr>
        <w:pStyle w:val="Normal"/>
        <w:jc w:val="center"/>
        <w:rPr/>
      </w:pPr>
      <w:r>
        <w:rPr/>
        <w:t>_________________________</w:t>
      </w:r>
    </w:p>
    <w:sectPr>
      <w:headerReference w:type="even" r:id="rId2"/>
      <w:headerReference w:type="default" r:id="rId3"/>
      <w:headerReference w:type="first" r:id="rId4"/>
      <w:type w:val="nextPage"/>
      <w:pgSz w:w="11906" w:h="16838"/>
      <w:pgMar w:left="1701" w:right="567" w:gutter="0" w:header="567"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Segoe UI">
    <w:charset w:val="00" w:characterSet="windows-1252"/>
    <w:family w:val="swiss"/>
    <w:pitch w:val="variable"/>
  </w:font>
  <w:font w:name="Minion Pro Med">
    <w:charset w:val="00" w:characterSet="windows-1252"/>
    <w:family w:val="roman"/>
    <w:pitch w:val="variable"/>
  </w:font>
  <w:font w:name="Liberation Sans">
    <w:altName w:val="Arial"/>
    <w:charset w:val="00" w:characterSet="windows-1252"/>
    <w:family w:val="swiss"/>
    <w:pitch w:val="variable"/>
  </w:font>
  <w:font w:name="Calibri Light">
    <w:charset w:val="00" w:characterSet="windows-1252"/>
    <w:family w:val="roman"/>
    <w:pitch w:val="variable"/>
  </w:font>
  <w:font w:name="Minion Pro">
    <w:charset w:val="00" w:characterSet="windows-1252"/>
    <w:family w:val="roman"/>
    <w:pitch w:val="variable"/>
  </w:font>
  <w:font w:name="Calibri">
    <w:charset w:val="00" w:characterSet="windows-1252"/>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distT="0" distB="0" distL="0" distR="0" simplePos="0" relativeHeight="15" behindDoc="1" locked="0" layoutInCell="0" allowOverlap="1">
              <wp:simplePos x="0" y="0"/>
              <wp:positionH relativeFrom="margin">
                <wp:align>center</wp:align>
              </wp:positionH>
              <wp:positionV relativeFrom="paragraph">
                <wp:posOffset>635</wp:posOffset>
              </wp:positionV>
              <wp:extent cx="14605" cy="14605"/>
              <wp:effectExtent l="0" t="0" r="0" b="0"/>
              <wp:wrapSquare wrapText="bothSides"/>
              <wp:docPr id="1" name="Frame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anchor>
          </w:drawing>
        </mc:Choice>
        <mc:Fallback>
          <w:pict>
            <v:rect id="shape_0" fillcolor="white" stroked="f" o:allowincell="f" style="position:absolute;margin-left:0pt;margin-top:0.05pt;width:1.1pt;height:1.1pt;mso-wrap-style:square;v-text-anchor:top;mso-position-horizontal:center;mso-position-horizontal-relative:margin">
              <v:fill o:detectmouseclick="t" type="solid" color2="black" opacity="0"/>
              <v:stroke color="#3465a4" joinstyle="round" endcap="flat"/>
              <v:textbo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distT="0" distB="0" distL="0" distR="0" simplePos="0" relativeHeight="12" behindDoc="1" locked="0" layoutInCell="0" allowOverlap="1">
              <wp:simplePos x="0" y="0"/>
              <wp:positionH relativeFrom="margin">
                <wp:align>center</wp:align>
              </wp:positionH>
              <wp:positionV relativeFrom="paragraph">
                <wp:posOffset>635</wp:posOffset>
              </wp:positionV>
              <wp:extent cx="76835" cy="173990"/>
              <wp:effectExtent l="0" t="0" r="0" b="0"/>
              <wp:wrapSquare wrapText="bothSides"/>
              <wp:docPr id="2" name="Frame2"/>
              <a:graphic xmlns:a="http://schemas.openxmlformats.org/drawingml/2006/main">
                <a:graphicData uri="http://schemas.microsoft.com/office/word/2010/wordprocessingShape">
                  <wps:wsp>
                    <wps:cNvSpPr/>
                    <wps:spPr>
                      <a:xfrm>
                        <a:off x="0" y="0"/>
                        <a:ext cx="76680" cy="173880"/>
                      </a:xfrm>
                      <a:prstGeom prst="rect">
                        <a:avLst/>
                      </a:prstGeom>
                      <a:noFill/>
                      <a:ln w="0">
                        <a:noFill/>
                      </a:ln>
                    </wps:spPr>
                    <wps:style>
                      <a:lnRef idx="0"/>
                      <a:fillRef idx="0"/>
                      <a:effectRef idx="0"/>
                      <a:fontRef idx="minor"/>
                    </wps:style>
                    <wps:txb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txbxContent>
                    </wps:txbx>
                    <wps:bodyPr lIns="0" tIns="0" rIns="0" bIns="0" anchor="t">
                      <a:spAutoFit/>
                    </wps:bodyPr>
                  </wps:wsp>
                </a:graphicData>
              </a:graphic>
            </wp:anchor>
          </w:drawing>
        </mc:Choice>
        <mc:Fallback>
          <w:pict>
            <v:rect id="shape_0" fillcolor="white" stroked="f" o:allowincell="f" style="position:absolute;margin-left:237.9pt;margin-top:0.05pt;width:6pt;height:13.65pt;mso-wrap-style:square;v-text-anchor:top;mso-position-horizontal:center;mso-position-horizontal-relative:margin">
              <v:fill o:detectmouseclick="t" type="solid" color2="black" opacity="0"/>
              <v:stroke color="#3465a4" joinstyle="round" endcap="flat"/>
              <v:textbo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distT="0" distB="0" distL="0" distR="0" simplePos="0" relativeHeight="12" behindDoc="1" locked="0" layoutInCell="0" allowOverlap="1">
              <wp:simplePos x="0" y="0"/>
              <wp:positionH relativeFrom="margin">
                <wp:align>center</wp:align>
              </wp:positionH>
              <wp:positionV relativeFrom="paragraph">
                <wp:posOffset>635</wp:posOffset>
              </wp:positionV>
              <wp:extent cx="76835" cy="173990"/>
              <wp:effectExtent l="0" t="0" r="0" b="0"/>
              <wp:wrapSquare wrapText="bothSides"/>
              <wp:docPr id="3" name="Frame2"/>
              <a:graphic xmlns:a="http://schemas.openxmlformats.org/drawingml/2006/main">
                <a:graphicData uri="http://schemas.microsoft.com/office/word/2010/wordprocessingShape">
                  <wps:wsp>
                    <wps:cNvSpPr/>
                    <wps:spPr>
                      <a:xfrm>
                        <a:off x="0" y="0"/>
                        <a:ext cx="76680" cy="173880"/>
                      </a:xfrm>
                      <a:prstGeom prst="rect">
                        <a:avLst/>
                      </a:prstGeom>
                      <a:noFill/>
                      <a:ln w="0">
                        <a:noFill/>
                      </a:ln>
                    </wps:spPr>
                    <wps:style>
                      <a:lnRef idx="0"/>
                      <a:fillRef idx="0"/>
                      <a:effectRef idx="0"/>
                      <a:fontRef idx="minor"/>
                    </wps:style>
                    <wps:txb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txbxContent>
                    </wps:txbx>
                    <wps:bodyPr lIns="0" tIns="0" rIns="0" bIns="0" anchor="t">
                      <a:spAutoFit/>
                    </wps:bodyPr>
                  </wps:wsp>
                </a:graphicData>
              </a:graphic>
            </wp:anchor>
          </w:drawing>
        </mc:Choice>
        <mc:Fallback>
          <w:pict>
            <v:rect id="shape_0" fillcolor="white" stroked="f" o:allowincell="f" style="position:absolute;margin-left:237.9pt;margin-top:0.05pt;width:6pt;height:13.65pt;mso-wrap-style:square;v-text-anchor:top;mso-position-horizontal:center;mso-position-horizontal-relative:margin">
              <v:fill o:detectmouseclick="t" type="solid" color2="black" opacity="0"/>
              <v:stroke color="#3465a4" joinstyle="round" endcap="flat"/>
              <v:textbox>
                <w:txbxContent>
                  <w:p>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txbxContent>
              </v:textbox>
              <w10:wrap type="squar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b w:val="false"/>
        <w:color w:val="auto"/>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5"/>
      <w:numFmt w:val="decimal"/>
      <w:lvlText w:val="%1."/>
      <w:lvlJc w:val="start"/>
      <w:pPr>
        <w:tabs>
          <w:tab w:val="num" w:pos="0"/>
        </w:tabs>
        <w:ind w:start="644" w:hanging="360"/>
      </w:pPr>
      <w:rPr>
        <w:color w:val="auto"/>
        <w:lang w:val="en-US"/>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5"/>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1296"/>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lt-L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lt-LT" w:eastAsia="lt-LT" w:bidi="ar-SA"/>
      </w:rPr>
    </w:rPrDefault>
    <w:pPrDefault>
      <w:pPr>
        <w:suppressAutoHyphens w:val="true"/>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6e190c"/>
    <w:pPr>
      <w:widowControl/>
      <w:suppressAutoHyphens w:val="true"/>
      <w:bidi w:val="0"/>
      <w:spacing w:before="0" w:after="0"/>
      <w:jc w:val="start"/>
    </w:pPr>
    <w:rPr>
      <w:rFonts w:ascii="Times New Roman" w:hAnsi="Times New Roman" w:eastAsia="Times New Roman" w:cs="Times New Roman"/>
      <w:color w:val="auto"/>
      <w:kern w:val="0"/>
      <w:sz w:val="24"/>
      <w:szCs w:val="24"/>
      <w:lang w:val="lt-LT" w:eastAsia="lt-LT" w:bidi="ar-SA"/>
    </w:rPr>
  </w:style>
  <w:style w:type="paragraph" w:styleId="Heading1">
    <w:name w:val="heading 1"/>
    <w:basedOn w:val="Normal"/>
    <w:next w:val="Normal"/>
    <w:autoRedefine/>
    <w:qFormat/>
    <w:rsid w:val="009e42b6"/>
    <w:pPr>
      <w:keepNext w:val="true"/>
      <w:tabs>
        <w:tab w:val="clear" w:pos="1296"/>
        <w:tab w:val="left" w:pos="450" w:leader="none"/>
      </w:tabs>
      <w:spacing w:lineRule="auto" w:line="276" w:before="240" w:after="240"/>
      <w:ind w:start="1080"/>
      <w:contextualSpacing/>
      <w:jc w:val="center"/>
      <w:outlineLvl w:val="0"/>
    </w:pPr>
    <w:rPr>
      <w:b/>
      <w:caps/>
    </w:rPr>
  </w:style>
  <w:style w:type="character" w:styleId="DefaultParagraphFont" w:default="1">
    <w:name w:val="Default Paragraph Font"/>
    <w:uiPriority w:val="1"/>
    <w:semiHidden/>
    <w:unhideWhenUsed/>
    <w:qFormat/>
    <w:rPr/>
  </w:style>
  <w:style w:type="character" w:styleId="Emphasis">
    <w:name w:val="Emphasis"/>
    <w:basedOn w:val="DefaultParagraphFont"/>
    <w:qFormat/>
    <w:rsid w:val="00c54597"/>
    <w:rPr>
      <w:i/>
      <w:iCs/>
    </w:rPr>
  </w:style>
  <w:style w:type="character" w:styleId="Hyperlink">
    <w:name w:val="Hyperlink"/>
    <w:uiPriority w:val="99"/>
    <w:rsid w:val="00a360ff"/>
    <w:rPr>
      <w:color w:val="0000FF"/>
      <w:u w:val="single"/>
    </w:rPr>
  </w:style>
  <w:style w:type="character" w:styleId="PageNumber">
    <w:name w:val="page number"/>
    <w:basedOn w:val="DefaultParagraphFont"/>
    <w:rsid w:val="0023255e"/>
    <w:rPr/>
  </w:style>
  <w:style w:type="character" w:styleId="PoratDiagrama" w:customStyle="1">
    <w:name w:val="Poraštė Diagrama"/>
    <w:basedOn w:val="DefaultParagraphFont"/>
    <w:link w:val="Footer"/>
    <w:qFormat/>
    <w:rsid w:val="00556bbd"/>
    <w:rPr>
      <w:sz w:val="24"/>
      <w:szCs w:val="24"/>
    </w:rPr>
  </w:style>
  <w:style w:type="character" w:styleId="KomentarotekstasDiagrama" w:customStyle="1">
    <w:name w:val="Komentaro tekstas Diagrama"/>
    <w:basedOn w:val="DefaultParagraphFont"/>
    <w:link w:val="CommentText"/>
    <w:qFormat/>
    <w:rsid w:val="00556bbd"/>
    <w:rPr/>
  </w:style>
  <w:style w:type="character" w:styleId="CommentReference">
    <w:name w:val="annotation reference"/>
    <w:basedOn w:val="DefaultParagraphFont"/>
    <w:qFormat/>
    <w:rsid w:val="00556bbd"/>
    <w:rPr>
      <w:sz w:val="16"/>
      <w:szCs w:val="16"/>
    </w:rPr>
  </w:style>
  <w:style w:type="character" w:styleId="DebesliotekstasDiagrama" w:customStyle="1">
    <w:name w:val="Debesėlio tekstas Diagrama"/>
    <w:basedOn w:val="DefaultParagraphFont"/>
    <w:link w:val="BalloonText"/>
    <w:qFormat/>
    <w:rsid w:val="00556bbd"/>
    <w:rPr>
      <w:rFonts w:ascii="Segoe UI" w:hAnsi="Segoe UI" w:cs="Segoe UI"/>
      <w:sz w:val="18"/>
      <w:szCs w:val="18"/>
    </w:rPr>
  </w:style>
  <w:style w:type="character" w:styleId="A17" w:customStyle="1">
    <w:name w:val="A17"/>
    <w:uiPriority w:val="99"/>
    <w:qFormat/>
    <w:rsid w:val="00187769"/>
    <w:rPr>
      <w:rFonts w:ascii="Minion Pro Med" w:hAnsi="Minion Pro Med" w:cs="Minion Pro Med"/>
      <w:color w:val="000000"/>
      <w:sz w:val="17"/>
      <w:szCs w:val="17"/>
    </w:rPr>
  </w:style>
  <w:style w:type="character" w:styleId="KomentarotemaDiagrama" w:customStyle="1">
    <w:name w:val="Komentaro tema Diagrama"/>
    <w:basedOn w:val="KomentarotekstasDiagrama"/>
    <w:link w:val="annotationsubject"/>
    <w:qFormat/>
    <w:rsid w:val="009f7a5e"/>
    <w:rPr>
      <w:b/>
      <w:bCs/>
    </w:rPr>
  </w:style>
  <w:style w:type="character" w:styleId="Strong">
    <w:name w:val="Strong"/>
    <w:basedOn w:val="DefaultParagraphFont"/>
    <w:uiPriority w:val="22"/>
    <w:qFormat/>
    <w:rsid w:val="00821dea"/>
    <w:rPr>
      <w:b/>
      <w:bC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MAZAS" w:customStyle="1">
    <w:name w:val="MAZAS"/>
    <w:basedOn w:val="Normal"/>
    <w:qFormat/>
    <w:rsid w:val="00a360ff"/>
    <w:pPr>
      <w:suppressAutoHyphens w:val="true"/>
      <w:spacing w:lineRule="auto" w:line="283"/>
      <w:ind w:firstLine="312"/>
      <w:jc w:val="both"/>
      <w:textAlignment w:val="center"/>
    </w:pPr>
    <w:rPr>
      <w:color w:val="000000"/>
      <w:sz w:val="8"/>
      <w:szCs w:val="8"/>
      <w:lang w:eastAsia="en-US"/>
    </w:rPr>
  </w:style>
  <w:style w:type="paragraph" w:styleId="ISTATYMAS" w:customStyle="1">
    <w:name w:val="ISTATYMAS"/>
    <w:basedOn w:val="Normal"/>
    <w:qFormat/>
    <w:rsid w:val="00a360ff"/>
    <w:pPr>
      <w:keepLines/>
      <w:suppressAutoHyphens w:val="true"/>
      <w:spacing w:lineRule="auto" w:line="288"/>
      <w:jc w:val="center"/>
      <w:textAlignment w:val="center"/>
    </w:pPr>
    <w:rPr>
      <w:color w:val="000000"/>
      <w:sz w:val="20"/>
      <w:szCs w:val="20"/>
      <w:lang w:eastAsia="en-US"/>
    </w:rPr>
  </w:style>
  <w:style w:type="paragraph" w:styleId="BodyText1" w:customStyle="1">
    <w:name w:val="Body Text1"/>
    <w:basedOn w:val="Normal"/>
    <w:qFormat/>
    <w:rsid w:val="00a360ff"/>
    <w:pPr>
      <w:suppressAutoHyphens w:val="true"/>
      <w:spacing w:lineRule="auto" w:line="298"/>
      <w:ind w:firstLine="312"/>
      <w:jc w:val="both"/>
      <w:textAlignment w:val="center"/>
    </w:pPr>
    <w:rPr>
      <w:color w:val="000000"/>
      <w:sz w:val="20"/>
      <w:szCs w:val="20"/>
      <w:lang w:eastAsia="en-US"/>
    </w:rPr>
  </w:style>
  <w:style w:type="paragraph" w:styleId="Prezidentas" w:customStyle="1">
    <w:name w:val="Prezidentas"/>
    <w:basedOn w:val="Normal"/>
    <w:qFormat/>
    <w:rsid w:val="00a360ff"/>
    <w:pPr>
      <w:tabs>
        <w:tab w:val="clear" w:pos="1296"/>
        <w:tab w:val="right" w:pos="9808" w:leader="none"/>
      </w:tabs>
      <w:suppressAutoHyphens w:val="true"/>
      <w:spacing w:lineRule="auto" w:line="288"/>
      <w:textAlignment w:val="center"/>
    </w:pPr>
    <w:rPr>
      <w:caps/>
      <w:color w:val="000000"/>
      <w:sz w:val="20"/>
      <w:szCs w:val="20"/>
      <w:lang w:eastAsia="en-US"/>
    </w:rPr>
  </w:style>
  <w:style w:type="paragraph" w:styleId="Linija" w:customStyle="1">
    <w:name w:val="Linija"/>
    <w:basedOn w:val="MAZAS"/>
    <w:qFormat/>
    <w:rsid w:val="00a360ff"/>
    <w:pPr>
      <w:ind w:hanging="0"/>
      <w:jc w:val="center"/>
    </w:pPr>
    <w:rPr>
      <w:sz w:val="12"/>
      <w:szCs w:val="12"/>
    </w:rPr>
  </w:style>
  <w:style w:type="paragraph" w:styleId="Patvirtinta" w:customStyle="1">
    <w:name w:val="Patvirtinta"/>
    <w:basedOn w:val="Normal"/>
    <w:qFormat/>
    <w:rsid w:val="00a360ff"/>
    <w:pPr>
      <w:keepLines/>
      <w:tabs>
        <w:tab w:val="clear" w:pos="1296"/>
        <w:tab w:val="left" w:pos="1304" w:leader="none"/>
        <w:tab w:val="left" w:pos="1457" w:leader="none"/>
        <w:tab w:val="left" w:pos="1604" w:leader="none"/>
        <w:tab w:val="left" w:pos="1757" w:leader="none"/>
      </w:tabs>
      <w:suppressAutoHyphens w:val="true"/>
      <w:spacing w:lineRule="auto" w:line="288"/>
      <w:ind w:start="5953"/>
      <w:textAlignment w:val="center"/>
    </w:pPr>
    <w:rPr>
      <w:color w:val="000000"/>
      <w:sz w:val="20"/>
      <w:szCs w:val="20"/>
      <w:lang w:eastAsia="en-US"/>
    </w:rPr>
  </w:style>
  <w:style w:type="paragraph" w:styleId="CentrBold" w:customStyle="1">
    <w:name w:val="CentrBold"/>
    <w:basedOn w:val="Normal"/>
    <w:qFormat/>
    <w:rsid w:val="00a360ff"/>
    <w:pPr>
      <w:keepLines/>
      <w:suppressAutoHyphens w:val="true"/>
      <w:spacing w:lineRule="auto" w:line="288"/>
      <w:jc w:val="center"/>
      <w:textAlignment w:val="center"/>
    </w:pPr>
    <w:rPr>
      <w:b/>
      <w:bCs/>
      <w:caps/>
      <w:color w:val="000000"/>
      <w:sz w:val="20"/>
      <w:szCs w:val="20"/>
      <w:lang w:eastAsia="en-US"/>
    </w:rPr>
  </w:style>
  <w:style w:type="paragraph" w:styleId="BodyTextIndent">
    <w:name w:val="Body Text Indent"/>
    <w:basedOn w:val="Normal"/>
    <w:rsid w:val="00db7a07"/>
    <w:pPr>
      <w:ind w:firstLine="900"/>
      <w:jc w:val="center"/>
    </w:pPr>
    <w:rPr>
      <w:caps/>
      <w:lang w:val="en-GB" w:eastAsia="en-US"/>
    </w:rPr>
  </w:style>
  <w:style w:type="paragraph" w:styleId="BodyText2">
    <w:name w:val="Body Text 2"/>
    <w:basedOn w:val="Normal"/>
    <w:qFormat/>
    <w:rsid w:val="00db7a07"/>
    <w:pPr>
      <w:spacing w:before="15" w:after="15"/>
      <w:jc w:val="center"/>
    </w:pPr>
    <w:rPr>
      <w:b/>
      <w:bCs/>
      <w:caps/>
      <w:color w:val="000000"/>
      <w:szCs w:val="18"/>
      <w:lang w:val="en-GB" w:eastAsia="en-US"/>
    </w:rPr>
  </w:style>
  <w:style w:type="paragraph" w:styleId="HeaderandFooter">
    <w:name w:val="Header and Footer"/>
    <w:basedOn w:val="Normal"/>
    <w:qFormat/>
    <w:pPr/>
    <w:rPr/>
  </w:style>
  <w:style w:type="paragraph" w:styleId="Header">
    <w:name w:val="header"/>
    <w:basedOn w:val="Normal"/>
    <w:rsid w:val="0023255e"/>
    <w:pPr>
      <w:tabs>
        <w:tab w:val="clear" w:pos="1296"/>
        <w:tab w:val="center" w:pos="4819" w:leader="none"/>
        <w:tab w:val="right" w:pos="9638" w:leader="none"/>
      </w:tabs>
    </w:pPr>
    <w:rPr/>
  </w:style>
  <w:style w:type="paragraph" w:styleId="IndexHeading">
    <w:name w:val="index heading"/>
    <w:basedOn w:val="Heading"/>
    <w:pPr/>
    <w:rPr/>
  </w:style>
  <w:style w:type="paragraph" w:styleId="TOCHeading">
    <w:name w:val="TOC Heading"/>
    <w:basedOn w:val="Heading1"/>
    <w:next w:val="Normal"/>
    <w:uiPriority w:val="39"/>
    <w:unhideWhenUsed/>
    <w:qFormat/>
    <w:rsid w:val="000b4b52"/>
    <w:pPr>
      <w:keepLines/>
      <w:spacing w:lineRule="auto" w:line="259" w:before="240" w:after="0"/>
      <w:contextualSpacing w:val="false"/>
      <w:jc w:val="start"/>
      <w:outlineLvl w:val="9"/>
    </w:pPr>
    <w:rPr>
      <w:rFonts w:ascii="Calibri Light" w:hAnsi="Calibri Light" w:eastAsia="" w:cs="" w:asciiTheme="majorHAnsi" w:cstheme="majorBidi" w:eastAsiaTheme="majorEastAsia" w:hAnsiTheme="majorHAnsi"/>
      <w:b w:val="false"/>
      <w:caps w:val="false"/>
      <w:smallCaps w:val="false"/>
      <w:color w:themeColor="accent1" w:themeShade="bf" w:val="2E74B5"/>
      <w:sz w:val="32"/>
      <w:szCs w:val="32"/>
      <w:lang w:val="en-US" w:eastAsia="en-US"/>
    </w:rPr>
  </w:style>
  <w:style w:type="paragraph" w:styleId="TOC1">
    <w:name w:val="toc 1"/>
    <w:basedOn w:val="Normal"/>
    <w:next w:val="Normal"/>
    <w:autoRedefine/>
    <w:uiPriority w:val="39"/>
    <w:rsid w:val="007c79b4"/>
    <w:pPr>
      <w:tabs>
        <w:tab w:val="clear" w:pos="1296"/>
        <w:tab w:val="left" w:pos="630" w:leader="none"/>
        <w:tab w:val="left" w:pos="880" w:leader="none"/>
        <w:tab w:val="right" w:pos="9628" w:leader="dot"/>
      </w:tabs>
      <w:spacing w:before="0" w:after="100"/>
    </w:pPr>
    <w:rPr/>
  </w:style>
  <w:style w:type="paragraph" w:styleId="Footer">
    <w:name w:val="footer"/>
    <w:basedOn w:val="Normal"/>
    <w:link w:val="PoratDiagrama"/>
    <w:rsid w:val="00556bbd"/>
    <w:pPr>
      <w:tabs>
        <w:tab w:val="clear" w:pos="1296"/>
        <w:tab w:val="center" w:pos="4819" w:leader="none"/>
        <w:tab w:val="right" w:pos="9638" w:leader="none"/>
      </w:tabs>
    </w:pPr>
    <w:rPr/>
  </w:style>
  <w:style w:type="paragraph" w:styleId="Pavadinimas1" w:customStyle="1">
    <w:name w:val="Pavadinimas1"/>
    <w:basedOn w:val="Normal"/>
    <w:qFormat/>
    <w:rsid w:val="00556bbd"/>
    <w:pPr>
      <w:keepLines/>
      <w:suppressAutoHyphens w:val="true"/>
      <w:spacing w:lineRule="auto" w:line="288"/>
      <w:ind w:start="850"/>
      <w:textAlignment w:val="center"/>
    </w:pPr>
    <w:rPr>
      <w:b/>
      <w:bCs/>
      <w:caps/>
      <w:color w:val="000000"/>
      <w:sz w:val="22"/>
      <w:szCs w:val="22"/>
      <w:lang w:eastAsia="en-US"/>
    </w:rPr>
  </w:style>
  <w:style w:type="paragraph" w:styleId="ListParagraph">
    <w:name w:val="List Paragraph"/>
    <w:basedOn w:val="Normal"/>
    <w:uiPriority w:val="34"/>
    <w:qFormat/>
    <w:rsid w:val="00556bbd"/>
    <w:pPr>
      <w:spacing w:before="0" w:after="0"/>
      <w:ind w:start="720"/>
      <w:contextualSpacing/>
    </w:pPr>
    <w:rPr/>
  </w:style>
  <w:style w:type="paragraph" w:styleId="CommentText">
    <w:name w:val="annotation text"/>
    <w:basedOn w:val="Normal"/>
    <w:link w:val="KomentarotekstasDiagrama"/>
    <w:rsid w:val="00556bbd"/>
    <w:pPr/>
    <w:rPr>
      <w:sz w:val="20"/>
      <w:szCs w:val="20"/>
    </w:rPr>
  </w:style>
  <w:style w:type="paragraph" w:styleId="BalloonText">
    <w:name w:val="Balloon Text"/>
    <w:basedOn w:val="Normal"/>
    <w:link w:val="DebesliotekstasDiagrama"/>
    <w:unhideWhenUsed/>
    <w:qFormat/>
    <w:rsid w:val="00556bbd"/>
    <w:pPr/>
    <w:rPr>
      <w:rFonts w:ascii="Segoe UI" w:hAnsi="Segoe UI" w:cs="Segoe UI"/>
      <w:sz w:val="18"/>
      <w:szCs w:val="18"/>
    </w:rPr>
  </w:style>
  <w:style w:type="paragraph" w:styleId="Pa14" w:customStyle="1">
    <w:name w:val="Pa14"/>
    <w:basedOn w:val="Normal"/>
    <w:next w:val="Normal"/>
    <w:uiPriority w:val="99"/>
    <w:qFormat/>
    <w:rsid w:val="00187769"/>
    <w:pPr>
      <w:spacing w:lineRule="atLeast" w:line="201"/>
    </w:pPr>
    <w:rPr>
      <w:rFonts w:ascii="Minion Pro" w:hAnsi="Minion Pro"/>
    </w:rPr>
  </w:style>
  <w:style w:type="paragraph" w:styleId="annotationsubject">
    <w:name w:val="annotation subject"/>
    <w:basedOn w:val="CommentText"/>
    <w:next w:val="CommentText"/>
    <w:link w:val="KomentarotemaDiagrama"/>
    <w:qFormat/>
    <w:rsid w:val="009f7a5e"/>
    <w:pPr/>
    <w:rPr>
      <w:b/>
      <w:bCs/>
    </w:rPr>
  </w:style>
  <w:style w:type="paragraph" w:styleId="xmsonormal" w:customStyle="1">
    <w:name w:val="x_msonormal"/>
    <w:basedOn w:val="Normal"/>
    <w:qFormat/>
    <w:rsid w:val="0013599a"/>
    <w:pPr/>
    <w:rPr>
      <w:rFonts w:ascii="Calibri" w:hAnsi="Calibri" w:eastAsia="Calibri" w:cs="Calibri" w:eastAsiaTheme="minorHAnsi"/>
      <w:sz w:val="22"/>
      <w:szCs w:val="22"/>
    </w:rPr>
  </w:style>
  <w:style w:type="paragraph" w:styleId="xxxxxxmsonormal" w:customStyle="1">
    <w:name w:val="x_xxxxxmsonormal"/>
    <w:basedOn w:val="Normal"/>
    <w:qFormat/>
    <w:rsid w:val="0013599a"/>
    <w:pPr/>
    <w:rPr>
      <w:rFonts w:ascii="Calibri" w:hAnsi="Calibri" w:eastAsia="Calibri" w:cs="Calibri" w:eastAsiaTheme="minorHAnsi"/>
      <w:sz w:val="22"/>
      <w:szCs w:val="22"/>
    </w:rPr>
  </w:style>
  <w:style w:type="paragraph" w:styleId="NormalWeb">
    <w:name w:val="Normal (Web)"/>
    <w:basedOn w:val="Normal"/>
    <w:uiPriority w:val="99"/>
    <w:semiHidden/>
    <w:unhideWhenUsed/>
    <w:qFormat/>
    <w:rsid w:val="00ba2d66"/>
    <w:pPr>
      <w:spacing w:beforeAutospacing="1" w:afterAutospacing="1"/>
    </w:pPr>
    <w:rPr/>
  </w:style>
  <w:style w:type="paragraph" w:styleId="FrameContentsuser">
    <w:name w:val="Frame Contents (user)"/>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prastojilentel">
    <w:name w:val="Normal Table"/>
    <w:uiPriority w:val="99"/>
    <w:semiHidden/>
    <w:unhideWhenUsed/>
    <w:tblPr>
      <w:tblCellMar>
        <w:top w:w="0" w:type="dxa"/>
        <w:left w:w="108" w:type="dxa"/>
        <w:bottom w:w="0" w:type="dxa"/>
        <w:right w:w="108" w:type="dxa"/>
      </w:tblCellMar>
    </w:tblPr>
  </w:style>
  <w:style w:type="table" w:styleId="Lentelstinklelis">
    <w:name w:val="Table Grid"/>
    <w:basedOn w:val="prastojilentel"/>
    <w:uiPriority w:val="59"/>
    <w:rsid w:val="00556bbd"/>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GridTable1Light-Accent11">
    <w:name w:val="Grid Table 1 Light - Accent 11"/>
    <w:basedOn w:val="prastojilentel"/>
    <w:uiPriority w:val="46"/>
    <w:rsid w:val="00556bbd"/>
    <w:tblPr>
      <w:tblStyleRowBandSize w:val="1"/>
      <w:tblStyleColBandSize w:val="1"/>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blPr/>
      <w:tcPr>
        <w:tcBorders>
          <w:bottom w:val="single" w:color="9CC2E5" w:themeColor="accent1" w:sz="12" w:space="0"/>
        </w:tcBorders>
      </w:tcPr>
    </w:tblStylePr>
    <w:tblStylePr w:type="lastRow">
      <w:rPr>
        <w:b/>
        <w:bCs/>
      </w:rPr>
      <w:tblPr/>
      <w:tcPr>
        <w:tcBorders>
          <w:top w:val="double" w:color="9CC2E5" w:themeColor="accent1" w:sz="2" w:space="0"/>
        </w:tcBorders>
      </w:tcPr>
    </w:tblStylePr>
    <w:tblStylePr w:type="firstCol">
      <w:rPr>
        <w:b/>
        <w:bCs/>
      </w:rPr>
      <w:tblPr/>
    </w:tblStylePr>
    <w:tblStylePr w:type="lastCol">
      <w:rPr>
        <w:b/>
        <w:bCs/>
      </w:rPr>
      <w:tbl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 Id="rId10" Type="http://schemas.openxmlformats.org/officeDocument/2006/relationships/customXml" Target="../customXml/item2.xml"/><Relationship Id="rId11" Type="http://schemas.openxmlformats.org/officeDocument/2006/relationships/customXml" Target="../customXml/item3.xml"/><Relationship Id="rId12"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8AC3A7E3B39544881D85CE334B5164" ma:contentTypeVersion="18" ma:contentTypeDescription="Create a new document." ma:contentTypeScope="" ma:versionID="bc316432a0b1477c3dceb8da46173b87">
  <xsd:schema xmlns:xsd="http://www.w3.org/2001/XMLSchema" xmlns:xs="http://www.w3.org/2001/XMLSchema" xmlns:p="http://schemas.microsoft.com/office/2006/metadata/properties" xmlns:ns3="49d74d67-55b6-4313-993b-7df760c3f5c9" xmlns:ns4="773f9668-c2e4-430a-b9ac-47b7d4601105" targetNamespace="http://schemas.microsoft.com/office/2006/metadata/properties" ma:root="true" ma:fieldsID="9210e527723ae66b67d2fe47e3662275" ns3:_="" ns4:_="">
    <xsd:import namespace="49d74d67-55b6-4313-993b-7df760c3f5c9"/>
    <xsd:import namespace="773f9668-c2e4-430a-b9ac-47b7d460110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LengthInSeconds"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d74d67-55b6-4313-993b-7df760c3f5c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3f9668-c2e4-430a-b9ac-47b7d460110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73f9668-c2e4-430a-b9ac-47b7d460110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XSL" StyleName="ISO 690 - First Element and Date" Version="1987"/>
</file>

<file path=customXml/itemProps1.xml><?xml version="1.0" encoding="utf-8"?>
<ds:datastoreItem xmlns:ds="http://schemas.openxmlformats.org/officeDocument/2006/customXml" ds:itemID="{68F74693-670E-44DD-B80D-7180DE71F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d74d67-55b6-4313-993b-7df760c3f5c9"/>
    <ds:schemaRef ds:uri="773f9668-c2e4-430a-b9ac-47b7d4601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9094E-99D1-4B5B-9F5D-BCA6E4B45DDC}">
  <ds:schemaRefs>
    <ds:schemaRef ds:uri="773f9668-c2e4-430a-b9ac-47b7d4601105"/>
    <ds:schemaRef ds:uri="http://schemas.microsoft.com/office/2006/documentManagement/types"/>
    <ds:schemaRef ds:uri="http://schemas.microsoft.com/office/infopath/2007/PartnerControls"/>
    <ds:schemaRef ds:uri="http://purl.org/dc/elements/1.1/"/>
    <ds:schemaRef ds:uri="http://schemas.microsoft.com/office/2006/metadata/properties"/>
    <ds:schemaRef ds:uri="49d74d67-55b6-4313-993b-7df760c3f5c9"/>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1EEC1FA2-4B3D-4987-ACA3-B081910C1AA1}">
  <ds:schemaRefs>
    <ds:schemaRef ds:uri="http://schemas.microsoft.com/sharepoint/v3/contenttype/forms"/>
  </ds:schemaRefs>
</ds:datastoreItem>
</file>

<file path=customXml/itemProps4.xml><?xml version="1.0" encoding="utf-8"?>
<ds:datastoreItem xmlns:ds="http://schemas.openxmlformats.org/officeDocument/2006/customXml" ds:itemID="{8488CDF8-6162-41F7-8766-D9DFB80F9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Application>LibreOffice/26.2.4.2$Windows_X86_64 LibreOffice_project/0229ac93fcf0d7cbc6376066c6f35021cef002dc</Application>
  <AppVersion>15.0000</AppVersion>
  <Pages>6</Pages>
  <Words>2391</Words>
  <Characters>12740</Characters>
  <CharactersWithSpaces>15323</CharactersWithSpaces>
  <Paragraphs>87</Paragraphs>
  <Company>VIKO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2026-07-22T05:48:00Z</dcterms:created>
  <dc:creator>r.liepuoniene</dc:creator>
  <dc:description/>
  <dc:language>en-US</dc:language>
  <cp:lastModifiedBy/>
  <cp:lastPrinted>2016-10-27T10:05:00Z</cp:lastPrinted>
  <dcterms:modified xsi:type="dcterms:W3CDTF">2026-09-15T17:09:23Z</dcterms:modified>
  <cp:revision>11</cp:revision>
  <dc:subject/>
  <dc:title>LIETUVOS RESPUBLIKOS ŠVIETIMO IR MOKSLO MINISTRO</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0x010100388AC3A7E3B39544881D85CE334B5164</vt:lpwstr>
  </property>
  <property fmtid="{D5CDD505-2E9C-101B-9397-08002B2CF9AE}" pid="3" name="GrammarlyDocumentId">
    <vt:lpwstr>ad3952e8-c6b9-4bdd-92c1-214b55bb3ef6</vt:lpwstr>
  </property>
</Properties>
</file>